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 w:rsidP="004570E0">
      <w:pPr>
        <w:jc w:val="center"/>
      </w:pPr>
      <w:r>
        <w:rPr>
          <w:noProof/>
          <w:lang w:eastAsia="sl-SI"/>
        </w:rPr>
        <w:drawing>
          <wp:inline distT="0" distB="0" distL="0" distR="0" wp14:anchorId="58C9BDC9" wp14:editId="450179AC">
            <wp:extent cx="917585" cy="679718"/>
            <wp:effectExtent l="0" t="0" r="0" b="635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79" cy="70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66008FA" wp14:editId="2B3C6511">
            <wp:extent cx="764063" cy="611250"/>
            <wp:effectExtent l="0" t="0" r="0" b="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74" cy="6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3963BA3" wp14:editId="1EA04BD9">
            <wp:extent cx="685800" cy="685800"/>
            <wp:effectExtent l="0" t="0" r="0" b="0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EE569C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color w:val="FF0000"/>
                <w:sz w:val="24"/>
                <w:szCs w:val="24"/>
              </w:rPr>
              <w:t>DRAGI PRVOŠOLEC / PRVOŠOLKA</w:t>
            </w:r>
          </w:p>
          <w:p w:rsidR="00FD2096" w:rsidRDefault="00FD2096" w:rsidP="00FA5302">
            <w:pPr>
              <w:jc w:val="both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FD2096" w:rsidRDefault="00FD2096" w:rsidP="00FD2096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>TUDI V TEM  TEDNU SMO ZA VAS PRIPRAVILE NEKAJ ZANIMIVIH ŠOLSKIH NALOG. POLEG VELIK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TISKANE ČRKE</w:t>
            </w:r>
            <w:r w:rsidRPr="005935FB">
              <w:rPr>
                <w:rFonts w:ascii="Arial" w:hAnsi="Arial" w:cs="Arial"/>
                <w:b/>
                <w:sz w:val="24"/>
                <w:szCs w:val="24"/>
              </w:rPr>
              <w:t xml:space="preserve"> »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5935FB">
              <w:rPr>
                <w:rFonts w:ascii="Arial" w:hAnsi="Arial" w:cs="Arial"/>
                <w:b/>
                <w:sz w:val="24"/>
                <w:szCs w:val="24"/>
              </w:rPr>
              <w:t xml:space="preserve">«  BOSTE RAČUNALI DO 10, </w:t>
            </w:r>
            <w:r>
              <w:rPr>
                <w:rFonts w:ascii="Arial" w:hAnsi="Arial" w:cs="Arial"/>
                <w:b/>
                <w:sz w:val="24"/>
                <w:szCs w:val="24"/>
              </w:rPr>
              <w:t>SPOZNALI NOVA ŠTEVILA DO 15 IN PONOVILI TER UTRDILI ŽE ZNANO SNOV. OB POSLUŠANJU SKLADBE SE BOSTE GIBALI IN SPROSTILI, PRI LIKOVNEM USTVARJANJU PA BOSTE DOŽIVELI PRAVO ČAROVNIJO.</w:t>
            </w:r>
          </w:p>
          <w:p w:rsidR="005935FB" w:rsidRPr="004570E0" w:rsidRDefault="005935FB" w:rsidP="0045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>VERJAMEMO, DA VAM BO ZANIMIVO…</w:t>
            </w:r>
            <w:r w:rsidR="000D403D">
              <w:rPr>
                <w:rFonts w:ascii="Arial" w:hAnsi="Arial" w:cs="Arial"/>
                <w:b/>
                <w:sz w:val="24"/>
                <w:szCs w:val="24"/>
              </w:rPr>
              <w:t xml:space="preserve"> USPEŠNO DELO ŽELIMO…</w:t>
            </w:r>
          </w:p>
          <w:p w:rsidR="00327EA2" w:rsidRPr="000D403D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V tem tednu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od </w:t>
            </w:r>
            <w:r w:rsidR="00026E51">
              <w:rPr>
                <w:rFonts w:ascii="Arial" w:hAnsi="Arial" w:cs="Arial"/>
                <w:b/>
                <w:color w:val="FF0000"/>
                <w:sz w:val="32"/>
                <w:szCs w:val="32"/>
              </w:rPr>
              <w:t>14.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4. do 1</w:t>
            </w:r>
            <w:r w:rsidR="00026E51">
              <w:rPr>
                <w:rFonts w:ascii="Arial" w:hAnsi="Arial" w:cs="Arial"/>
                <w:b/>
                <w:color w:val="FF0000"/>
                <w:sz w:val="32"/>
                <w:szCs w:val="32"/>
              </w:rPr>
              <w:t>7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. 4. 2020</w:t>
            </w: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E16E1F" w:rsidRPr="00E16E1F" w:rsidRDefault="00026E51" w:rsidP="00E16E1F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šteti, brati, zapisati in primerjati števila do 15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E16E1F" w:rsidRDefault="00E16E1F" w:rsidP="00E16E1F">
            <w:pPr>
              <w:pStyle w:val="Odstavekseznama"/>
              <w:spacing w:after="160" w:line="259" w:lineRule="auto"/>
              <w:ind w:left="405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</w:p>
          <w:p w:rsidR="00E16E1F" w:rsidRPr="00E16E1F" w:rsidRDefault="00026E51" w:rsidP="00E16E1F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števila urediti po velikosti od najmanjšega do največjega ali obratno;</w:t>
            </w:r>
            <w:bookmarkStart w:id="0" w:name="_GoBack"/>
            <w:bookmarkEnd w:id="0"/>
          </w:p>
          <w:p w:rsidR="00026E51" w:rsidRPr="00026E51" w:rsidRDefault="00026E51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določiti predhodnik in naslednik števila;</w:t>
            </w:r>
          </w:p>
          <w:p w:rsidR="009B64DE" w:rsidRPr="00327EA2" w:rsidRDefault="009B64DE" w:rsidP="00026E51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seštevati in odštevati v množici naravnih števil do 10, vključno s številom 0</w:t>
            </w:r>
            <w:r w:rsidR="00026E51"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.</w:t>
            </w: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665" w:type="dxa"/>
          </w:tcPr>
          <w:p w:rsidR="009B64DE" w:rsidRPr="000D403D" w:rsidRDefault="009B64DE" w:rsidP="009B64D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poimenovati in po dogovorjeni smeri, obliki in </w:t>
            </w:r>
            <w:r w:rsidR="004570E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velikosti zapisati veliko tiskano črko D</w:t>
            </w:r>
            <w:r w:rsidR="000D403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;</w:t>
            </w:r>
          </w:p>
          <w:p w:rsidR="009B64DE" w:rsidRPr="000D403D" w:rsidRDefault="009B64DE" w:rsidP="009B64D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9B64DE" w:rsidRPr="004570E0" w:rsidRDefault="009B64DE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z velikimi tiskanimi črkami prepisati/samostojno zapisati besede</w:t>
            </w:r>
            <w:r w:rsidR="000D403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570E0" w:rsidRPr="004570E0" w:rsidRDefault="004570E0" w:rsidP="004570E0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4570E0" w:rsidRPr="000D403D" w:rsidRDefault="004570E0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razločno, glasno in čim bolj knjižno pripovedovati zgodbo s pomočjo sličic;</w:t>
            </w:r>
          </w:p>
          <w:p w:rsidR="009B64DE" w:rsidRPr="000D403D" w:rsidRDefault="009B64DE" w:rsidP="009B64D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B64DE" w:rsidRPr="000D403D" w:rsidRDefault="004570E0" w:rsidP="009B64D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smiselno sodelovati v pogovoru in igri vlog</w:t>
            </w:r>
            <w:r w:rsidR="000D403D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B64DE" w:rsidRPr="00327EA2" w:rsidRDefault="009B64DE" w:rsidP="009B64DE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FD2096" w:rsidRPr="000D403D" w:rsidRDefault="00FD2096" w:rsidP="00FD2096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opisati dogodke in spremembe v naravi ter pri živih bitjih v pomladnem letnem času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FD2096" w:rsidRPr="000D403D" w:rsidRDefault="00FD2096" w:rsidP="00FD2096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FD2096" w:rsidRPr="000D403D" w:rsidRDefault="00FD2096" w:rsidP="00FD2096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ločiti živo in neživo naravo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D2096" w:rsidRPr="000D403D" w:rsidRDefault="00FD2096" w:rsidP="00FD2096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D2096" w:rsidRPr="000D403D" w:rsidRDefault="00FD2096" w:rsidP="00FD2096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poimenovati, kaj živa bitja potrebujejo za življenje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D2096" w:rsidRPr="000D403D" w:rsidRDefault="00FD2096" w:rsidP="00FD2096">
            <w:pPr>
              <w:pStyle w:val="Odstavekseznama"/>
              <w:rPr>
                <w:rFonts w:ascii="Arial" w:hAnsi="Arial" w:cs="Arial"/>
                <w:sz w:val="24"/>
                <w:szCs w:val="24"/>
              </w:rPr>
            </w:pPr>
          </w:p>
          <w:p w:rsidR="009B64DE" w:rsidRPr="009B64DE" w:rsidRDefault="00FD2096" w:rsidP="00FD2096">
            <w:pPr>
              <w:pStyle w:val="Odstavekseznama"/>
              <w:numPr>
                <w:ilvl w:val="0"/>
                <w:numId w:val="1"/>
              </w:numPr>
              <w:rPr>
                <w:b/>
                <w:color w:val="0070C0"/>
                <w:sz w:val="36"/>
                <w:szCs w:val="36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razložiti, kako lahko sam aktivno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403D">
              <w:rPr>
                <w:rFonts w:ascii="Arial" w:hAnsi="Arial" w:cs="Arial"/>
                <w:sz w:val="24"/>
                <w:szCs w:val="24"/>
              </w:rPr>
              <w:t>prispeva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0D403D">
              <w:rPr>
                <w:rFonts w:ascii="Arial" w:hAnsi="Arial" w:cs="Arial"/>
                <w:sz w:val="24"/>
                <w:szCs w:val="24"/>
              </w:rPr>
              <w:t xml:space="preserve"> k varovanju okolja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26E51"/>
    <w:rsid w:val="00093623"/>
    <w:rsid w:val="000D403D"/>
    <w:rsid w:val="00327EA2"/>
    <w:rsid w:val="0033585A"/>
    <w:rsid w:val="003F4CE6"/>
    <w:rsid w:val="004570E0"/>
    <w:rsid w:val="005935FB"/>
    <w:rsid w:val="00604737"/>
    <w:rsid w:val="00806D4C"/>
    <w:rsid w:val="0084083C"/>
    <w:rsid w:val="008B070B"/>
    <w:rsid w:val="008D0E54"/>
    <w:rsid w:val="009842D5"/>
    <w:rsid w:val="009B64DE"/>
    <w:rsid w:val="00A06055"/>
    <w:rsid w:val="00D64110"/>
    <w:rsid w:val="00E16E1F"/>
    <w:rsid w:val="00EE569C"/>
    <w:rsid w:val="00F910DA"/>
    <w:rsid w:val="00FA5302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A977"/>
  <w15:docId w15:val="{8EA9B680-63EC-4058-82D3-F38BD903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</cp:lastModifiedBy>
  <cp:revision>4</cp:revision>
  <dcterms:created xsi:type="dcterms:W3CDTF">2020-04-10T12:35:00Z</dcterms:created>
  <dcterms:modified xsi:type="dcterms:W3CDTF">2020-04-13T07:23:00Z</dcterms:modified>
</cp:coreProperties>
</file>