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01" w:rsidRDefault="006C01BE">
      <w:pPr>
        <w:rPr>
          <w:color w:val="FF0000"/>
          <w:sz w:val="28"/>
          <w:szCs w:val="28"/>
        </w:rPr>
      </w:pPr>
      <w:r w:rsidRPr="006C01BE">
        <w:rPr>
          <w:color w:val="FF0000"/>
          <w:sz w:val="28"/>
          <w:szCs w:val="28"/>
        </w:rPr>
        <w:t>DELOVNI LIST: Prodajna pogodba II. Del</w:t>
      </w:r>
    </w:p>
    <w:p w:rsidR="006C01BE" w:rsidRDefault="006C01BE" w:rsidP="006C01BE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Učili smo se, da ko sklepamo prodajno pogodbo moramo upoštevati določene zakone. </w:t>
      </w:r>
    </w:p>
    <w:p w:rsidR="006C01BE" w:rsidRDefault="006C01BE" w:rsidP="006C01BE">
      <w:pPr>
        <w:rPr>
          <w:sz w:val="24"/>
          <w:szCs w:val="24"/>
        </w:rPr>
      </w:pPr>
      <w:r>
        <w:rPr>
          <w:sz w:val="24"/>
          <w:szCs w:val="24"/>
        </w:rPr>
        <w:t>Če sklenemo na banki kredit, urejajo pogodbo obligacijski zakon in npr. zakon o potrošniških kreditih in predpisani obrestni meri.</w:t>
      </w:r>
    </w:p>
    <w:p w:rsidR="006C01BE" w:rsidRDefault="006C01BE" w:rsidP="006C01BE">
      <w:pPr>
        <w:rPr>
          <w:sz w:val="24"/>
          <w:szCs w:val="24"/>
        </w:rPr>
      </w:pPr>
      <w:r>
        <w:rPr>
          <w:sz w:val="24"/>
          <w:szCs w:val="24"/>
        </w:rPr>
        <w:t xml:space="preserve">Določene zakone s pogodbo ne moremo spremeniti, saj imajo značilnost prisilnih predpisov in jih moramo upoštevati. To so </w:t>
      </w:r>
      <w:proofErr w:type="spellStart"/>
      <w:r>
        <w:rPr>
          <w:sz w:val="24"/>
          <w:szCs w:val="24"/>
        </w:rPr>
        <w:t>kogentne</w:t>
      </w:r>
      <w:proofErr w:type="spellEnd"/>
      <w:r>
        <w:rPr>
          <w:sz w:val="24"/>
          <w:szCs w:val="24"/>
        </w:rPr>
        <w:t xml:space="preserve"> norme. Na drugi strani, pa imamo dispozitivne norme, kjer se stranke lahko dogovorijo drugače, samo morajo to vnaprej določit.</w:t>
      </w:r>
    </w:p>
    <w:p w:rsidR="006C01BE" w:rsidRDefault="006C01BE" w:rsidP="006C01BE">
      <w:pPr>
        <w:rPr>
          <w:sz w:val="24"/>
          <w:szCs w:val="24"/>
        </w:rPr>
      </w:pPr>
      <w:r>
        <w:rPr>
          <w:sz w:val="24"/>
          <w:szCs w:val="24"/>
        </w:rPr>
        <w:t xml:space="preserve">Napišite ali gre pri posameznih zakonih za </w:t>
      </w:r>
      <w:proofErr w:type="spellStart"/>
      <w:r>
        <w:rPr>
          <w:sz w:val="24"/>
          <w:szCs w:val="24"/>
        </w:rPr>
        <w:t>kogentne</w:t>
      </w:r>
      <w:proofErr w:type="spellEnd"/>
      <w:r>
        <w:rPr>
          <w:sz w:val="24"/>
          <w:szCs w:val="24"/>
        </w:rPr>
        <w:t xml:space="preserve"> ali dispozitivne norme:</w:t>
      </w:r>
    </w:p>
    <w:p w:rsidR="006C01BE" w:rsidRDefault="006C01BE" w:rsidP="006C01BE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4819"/>
      </w:tblGrid>
      <w:tr w:rsidR="006C01BE" w:rsidRPr="004354DD" w:rsidTr="006C01BE">
        <w:tc>
          <w:tcPr>
            <w:tcW w:w="2122" w:type="dxa"/>
          </w:tcPr>
          <w:p w:rsidR="006C01BE" w:rsidRPr="004354DD" w:rsidRDefault="006C01BE" w:rsidP="006C01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OZ</w:t>
            </w:r>
          </w:p>
        </w:tc>
        <w:tc>
          <w:tcPr>
            <w:tcW w:w="4819" w:type="dxa"/>
          </w:tcPr>
          <w:p w:rsidR="006C01BE" w:rsidRPr="004354DD" w:rsidRDefault="006C01BE" w:rsidP="006C01BE">
            <w:pPr>
              <w:rPr>
                <w:sz w:val="24"/>
                <w:szCs w:val="24"/>
                <w:highlight w:val="yellow"/>
              </w:rPr>
            </w:pPr>
          </w:p>
        </w:tc>
      </w:tr>
      <w:tr w:rsidR="006C01BE" w:rsidRPr="004354DD" w:rsidTr="006C01BE">
        <w:tc>
          <w:tcPr>
            <w:tcW w:w="2122" w:type="dxa"/>
          </w:tcPr>
          <w:p w:rsidR="006C01BE" w:rsidRPr="004354DD" w:rsidRDefault="006C01BE" w:rsidP="006C01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Zakon o varstvu potrošnikov</w:t>
            </w:r>
          </w:p>
          <w:p w:rsidR="006C01BE" w:rsidRPr="004354DD" w:rsidRDefault="006C01BE" w:rsidP="006C01B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819" w:type="dxa"/>
          </w:tcPr>
          <w:p w:rsidR="006C01BE" w:rsidRPr="004354DD" w:rsidRDefault="00C56A40" w:rsidP="006C01BE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354DD">
              <w:rPr>
                <w:sz w:val="24"/>
                <w:szCs w:val="24"/>
                <w:highlight w:val="yellow"/>
              </w:rPr>
              <w:t>kongente</w:t>
            </w:r>
            <w:proofErr w:type="spellEnd"/>
          </w:p>
        </w:tc>
      </w:tr>
      <w:tr w:rsidR="006C01BE" w:rsidRPr="004354DD" w:rsidTr="006C01BE">
        <w:tc>
          <w:tcPr>
            <w:tcW w:w="2122" w:type="dxa"/>
          </w:tcPr>
          <w:p w:rsidR="006C01BE" w:rsidRPr="004354DD" w:rsidRDefault="006C01BE" w:rsidP="006C01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Uzance</w:t>
            </w:r>
          </w:p>
        </w:tc>
        <w:tc>
          <w:tcPr>
            <w:tcW w:w="4819" w:type="dxa"/>
          </w:tcPr>
          <w:p w:rsidR="006C01BE" w:rsidRPr="004354DD" w:rsidRDefault="00C56A40" w:rsidP="006C01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dispozitivne</w:t>
            </w:r>
          </w:p>
        </w:tc>
      </w:tr>
      <w:tr w:rsidR="006C01BE" w:rsidRPr="004354DD" w:rsidTr="006C01BE">
        <w:tc>
          <w:tcPr>
            <w:tcW w:w="2122" w:type="dxa"/>
          </w:tcPr>
          <w:p w:rsidR="006C01BE" w:rsidRPr="004354DD" w:rsidRDefault="006C01BE" w:rsidP="006C01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Zakon o kreditih</w:t>
            </w:r>
          </w:p>
        </w:tc>
        <w:tc>
          <w:tcPr>
            <w:tcW w:w="4819" w:type="dxa"/>
          </w:tcPr>
          <w:p w:rsidR="006C01BE" w:rsidRPr="004354DD" w:rsidRDefault="00C56A40" w:rsidP="006C01BE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354DD">
              <w:rPr>
                <w:sz w:val="24"/>
                <w:szCs w:val="24"/>
                <w:highlight w:val="yellow"/>
              </w:rPr>
              <w:t>kongente</w:t>
            </w:r>
            <w:proofErr w:type="spellEnd"/>
          </w:p>
        </w:tc>
      </w:tr>
      <w:tr w:rsidR="006C01BE" w:rsidTr="006C01BE">
        <w:tc>
          <w:tcPr>
            <w:tcW w:w="2122" w:type="dxa"/>
          </w:tcPr>
          <w:p w:rsidR="006C01BE" w:rsidRPr="004354DD" w:rsidRDefault="006C01BE" w:rsidP="006C01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Zakon o trgu vrednostnih papirjev</w:t>
            </w:r>
          </w:p>
        </w:tc>
        <w:tc>
          <w:tcPr>
            <w:tcW w:w="4819" w:type="dxa"/>
          </w:tcPr>
          <w:p w:rsidR="006C01BE" w:rsidRDefault="00C56A40" w:rsidP="006C01BE">
            <w:pPr>
              <w:rPr>
                <w:sz w:val="24"/>
                <w:szCs w:val="24"/>
              </w:rPr>
            </w:pPr>
            <w:proofErr w:type="spellStart"/>
            <w:r w:rsidRPr="004354DD">
              <w:rPr>
                <w:sz w:val="24"/>
                <w:szCs w:val="24"/>
                <w:highlight w:val="yellow"/>
              </w:rPr>
              <w:t>kongente</w:t>
            </w:r>
            <w:proofErr w:type="spellEnd"/>
          </w:p>
        </w:tc>
      </w:tr>
    </w:tbl>
    <w:p w:rsidR="006C01BE" w:rsidRDefault="006C01BE" w:rsidP="006C01BE">
      <w:pPr>
        <w:rPr>
          <w:sz w:val="24"/>
          <w:szCs w:val="24"/>
        </w:rPr>
      </w:pPr>
    </w:p>
    <w:p w:rsidR="006C01BE" w:rsidRDefault="008A1F89" w:rsidP="006C01BE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Pravno formalne vire obligacijskega zakona </w:t>
      </w:r>
      <w:r w:rsidR="004865C4">
        <w:rPr>
          <w:sz w:val="24"/>
          <w:szCs w:val="24"/>
        </w:rPr>
        <w:t xml:space="preserve"> delimo v tri skupine in sicer:</w:t>
      </w:r>
      <w:r>
        <w:rPr>
          <w:sz w:val="24"/>
          <w:szCs w:val="24"/>
        </w:rPr>
        <w:t xml:space="preserve"> Izpolnite tabelo.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1F89" w:rsidTr="008A1F89">
        <w:tc>
          <w:tcPr>
            <w:tcW w:w="3020" w:type="dxa"/>
          </w:tcPr>
          <w:p w:rsidR="008A1F89" w:rsidRDefault="008A1F89" w:rsidP="008A1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Obligacijski zakon</w:t>
            </w:r>
          </w:p>
        </w:tc>
        <w:tc>
          <w:tcPr>
            <w:tcW w:w="3021" w:type="dxa"/>
          </w:tcPr>
          <w:p w:rsidR="008A1F89" w:rsidRDefault="008A1F89" w:rsidP="008A1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Drugi zakoni</w:t>
            </w:r>
          </w:p>
        </w:tc>
        <w:tc>
          <w:tcPr>
            <w:tcW w:w="3021" w:type="dxa"/>
          </w:tcPr>
          <w:p w:rsidR="008A1F89" w:rsidRDefault="008A1F89" w:rsidP="008A1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Avtonomni pravni viri</w:t>
            </w:r>
          </w:p>
        </w:tc>
      </w:tr>
      <w:tr w:rsidR="008A1F89" w:rsidTr="008A1F89">
        <w:tc>
          <w:tcPr>
            <w:tcW w:w="3020" w:type="dxa"/>
          </w:tcPr>
          <w:p w:rsidR="008A1F89" w:rsidRPr="004354DD" w:rsidRDefault="00C56A40" w:rsidP="008A1F89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Je temeljni zakon, ureja civilno pravna in gospodarska razmerja in velja za vsa razmerja</w:t>
            </w:r>
          </w:p>
          <w:p w:rsidR="008A1F89" w:rsidRPr="004354DD" w:rsidRDefault="008A1F89" w:rsidP="008A1F89">
            <w:pPr>
              <w:rPr>
                <w:sz w:val="24"/>
                <w:szCs w:val="24"/>
                <w:highlight w:val="yellow"/>
              </w:rPr>
            </w:pPr>
          </w:p>
          <w:p w:rsidR="008A1F89" w:rsidRPr="004354DD" w:rsidRDefault="008A1F89" w:rsidP="008A1F89">
            <w:pPr>
              <w:rPr>
                <w:sz w:val="24"/>
                <w:szCs w:val="24"/>
                <w:highlight w:val="yellow"/>
              </w:rPr>
            </w:pPr>
          </w:p>
          <w:p w:rsidR="008A1F89" w:rsidRPr="004354DD" w:rsidRDefault="008A1F89" w:rsidP="008A1F8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</w:tcPr>
          <w:p w:rsidR="008A1F89" w:rsidRPr="004354DD" w:rsidRDefault="00C56A40" w:rsidP="008A1F89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 xml:space="preserve">Zakon o varstvu potrošnikov, zakon o predpisani obrestni meri, </w:t>
            </w:r>
          </w:p>
          <w:p w:rsidR="00C56A40" w:rsidRPr="004354DD" w:rsidRDefault="00C56A40" w:rsidP="008A1F89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 xml:space="preserve">Zakon o potrošnikih kreditih </w:t>
            </w:r>
          </w:p>
          <w:p w:rsidR="00C56A40" w:rsidRPr="004354DD" w:rsidRDefault="00C56A40" w:rsidP="008A1F89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 xml:space="preserve">Zakon o trgu vrednostih papirjev. </w:t>
            </w:r>
          </w:p>
        </w:tc>
        <w:tc>
          <w:tcPr>
            <w:tcW w:w="3021" w:type="dxa"/>
          </w:tcPr>
          <w:p w:rsidR="008A1F89" w:rsidRPr="004354DD" w:rsidRDefault="00C56A40" w:rsidP="008A1F89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 xml:space="preserve">Uzance….. tisti, ki jih ni predpisal </w:t>
            </w:r>
            <w:r w:rsidR="000B7686" w:rsidRPr="004354DD">
              <w:rPr>
                <w:sz w:val="24"/>
                <w:szCs w:val="24"/>
                <w:highlight w:val="yellow"/>
              </w:rPr>
              <w:t xml:space="preserve">zakonodajalec, ampak so jih sprejeli pravni subjekti sami, kot so poslovne navade. </w:t>
            </w:r>
          </w:p>
        </w:tc>
      </w:tr>
    </w:tbl>
    <w:p w:rsidR="008A1F89" w:rsidRDefault="008A1F89" w:rsidP="008A1F89">
      <w:pPr>
        <w:rPr>
          <w:sz w:val="24"/>
          <w:szCs w:val="24"/>
        </w:rPr>
      </w:pPr>
    </w:p>
    <w:p w:rsidR="008A1F89" w:rsidRDefault="008A1F89" w:rsidP="008A1F89">
      <w:pPr>
        <w:rPr>
          <w:sz w:val="24"/>
          <w:szCs w:val="24"/>
        </w:rPr>
      </w:pPr>
      <w:r>
        <w:rPr>
          <w:sz w:val="24"/>
          <w:szCs w:val="24"/>
        </w:rPr>
        <w:t xml:space="preserve">Pojdite na </w:t>
      </w:r>
      <w:hyperlink r:id="rId5" w:history="1">
        <w:r w:rsidR="00083792" w:rsidRPr="005A0CC9">
          <w:rPr>
            <w:rStyle w:val="Hiperpovezava"/>
            <w:sz w:val="24"/>
            <w:szCs w:val="24"/>
          </w:rPr>
          <w:t>http://www.pisrs.si/Pis.web/pregledPredpisa?id=ZAKO1263</w:t>
        </w:r>
      </w:hyperlink>
      <w:r w:rsidR="00083792">
        <w:rPr>
          <w:sz w:val="24"/>
          <w:szCs w:val="24"/>
        </w:rPr>
        <w:t xml:space="preserve"> in izpišite 20 določb po želji.</w:t>
      </w:r>
    </w:p>
    <w:p w:rsidR="000B7686" w:rsidRPr="004354DD" w:rsidRDefault="000B768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Udeleženci oziroma udeleženke lahko uredijo svoje obligacijsko razmerje drugače, kot je določeno v tem zakoniku, če iz posamezne določbe tega zakonika ali iz njenega smisla ne izhaja kaj drugega. </w:t>
      </w:r>
    </w:p>
    <w:p w:rsidR="000B7686" w:rsidRPr="004354DD" w:rsidRDefault="000B768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Udeleženci prosto urejajo obligacijskega razmerja, ne smejo pa jih urejati v nasprotju z ustavo, s prisilnimi predpisi ali z moralnimi načeli. </w:t>
      </w:r>
    </w:p>
    <w:p w:rsidR="000B7686" w:rsidRPr="004354DD" w:rsidRDefault="000B768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Udeleženci v obligacijskem razmerju so enakopravni. </w:t>
      </w:r>
    </w:p>
    <w:p w:rsidR="000B7686" w:rsidRPr="004354DD" w:rsidRDefault="000B768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Vsak je dolžan vzdržati se ravnanja, s katerim bi utegnili drugemu povzročiti škodo. </w:t>
      </w:r>
    </w:p>
    <w:p w:rsidR="000B7686" w:rsidRPr="004354DD" w:rsidRDefault="000B768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lastRenderedPageBreak/>
        <w:t xml:space="preserve">Udeleženci v obligacijskem razmerju si morajo prizadevati, da rešujejo spore z usklajevanjem, posredovanjem ali na drug miren način. </w:t>
      </w:r>
    </w:p>
    <w:p w:rsidR="000B7686" w:rsidRPr="004354DD" w:rsidRDefault="000B768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V obligacijskih razmerjih gospodarskih subjektov se za presojo potrebnih ravnanj in njihovih učinkov upoštevajo poslovni običaji, uzance in praksa, vzpostavljena med strankama. </w:t>
      </w:r>
    </w:p>
    <w:p w:rsidR="000B7686" w:rsidRPr="004354DD" w:rsidRDefault="000B768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Pogodba je sklenjena, ko pogodbeni stranki sporazumeta o njenih bistvenih sestavinah. </w:t>
      </w:r>
    </w:p>
    <w:p w:rsidR="000B7686" w:rsidRPr="004354DD" w:rsidRDefault="000B768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Kadar sta stranki prepričani, da se strinjata, dejansko pa je med njima nesporazum o naravi pogodbe ali o podlagi ali predmetu obveznosti, se šteje, da pogodba ni bila sklenjena. </w:t>
      </w:r>
    </w:p>
    <w:p w:rsidR="005D22B6" w:rsidRPr="004354DD" w:rsidRDefault="005D22B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Razstavljanje blaga z označitvijo cene se šteje za ponudbo, če ne izhaja iz okoliščin primera ali iz običajev kaj drugega. </w:t>
      </w:r>
    </w:p>
    <w:p w:rsidR="005D22B6" w:rsidRPr="004354DD" w:rsidRDefault="005D22B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Ponudba ne izgubi učinka, če je smrt ali nesposobnost ene stranke nastopila, preden je bila sprejeta razen, če izhaja nasprotno iz namena strank, običajev ali narave posla. </w:t>
      </w:r>
    </w:p>
    <w:p w:rsidR="005D22B6" w:rsidRPr="004354DD" w:rsidRDefault="005D22B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Pogodba je nična, če je predmet obveznosti nemogoč, nedopusten, nedoločen ali nedoločljiv. </w:t>
      </w:r>
    </w:p>
    <w:p w:rsidR="005D22B6" w:rsidRPr="004354DD" w:rsidRDefault="005D22B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Pogodba je sklenjena z </w:t>
      </w:r>
      <w:proofErr w:type="spellStart"/>
      <w:r w:rsidRPr="004354DD">
        <w:rPr>
          <w:sz w:val="24"/>
          <w:szCs w:val="24"/>
          <w:highlight w:val="yellow"/>
        </w:rPr>
        <w:t>odložnim</w:t>
      </w:r>
      <w:proofErr w:type="spellEnd"/>
      <w:r w:rsidRPr="004354DD">
        <w:rPr>
          <w:sz w:val="24"/>
          <w:szCs w:val="24"/>
          <w:highlight w:val="yellow"/>
        </w:rPr>
        <w:t xml:space="preserve"> pogojem ali rokom, je veljavna, če je predmet obveznosti, ki je bil v začetku nemogoč, postal, mogoč, preden se je uresničil pogoj ali preden je iztekel rok. </w:t>
      </w:r>
    </w:p>
    <w:p w:rsidR="005D22B6" w:rsidRPr="004354DD" w:rsidRDefault="005D22B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Predmet obveznosti je nedopusten, če je v nasprotju z ustavo, s prisilnimi predpisi ali z moralnimi načeli. </w:t>
      </w:r>
    </w:p>
    <w:p w:rsidR="005D22B6" w:rsidRPr="004354DD" w:rsidRDefault="005D22B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Poslovno sposobna oseba lahko zahteva pogodbe, ki jo je brez potrebnega dovoljenja sklenila v času svoje omejene poslovne sposobnosti, vendar samo, če vloži tožbo v treh mesecih po pridobitvi popolne poslovne sposobnosti. </w:t>
      </w:r>
    </w:p>
    <w:p w:rsidR="005D22B6" w:rsidRPr="004354DD" w:rsidRDefault="005D22B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Pri neodplačani pogodbi se šteje za bistveno zmoto tudi zmota v nagibu, ki je bil odločilen za prevzem obveznosti. </w:t>
      </w:r>
    </w:p>
    <w:p w:rsidR="005D22B6" w:rsidRPr="004354DD" w:rsidRDefault="005D22B6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Zmota osebe, po kateri je stranka izjavila svojo </w:t>
      </w:r>
      <w:r w:rsidR="00E31A1C" w:rsidRPr="004354DD">
        <w:rPr>
          <w:sz w:val="24"/>
          <w:szCs w:val="24"/>
          <w:highlight w:val="yellow"/>
        </w:rPr>
        <w:t xml:space="preserve">voljo, se šteje enako kot zmota v izjavljanju lastne volje. </w:t>
      </w:r>
    </w:p>
    <w:p w:rsidR="00E31A1C" w:rsidRPr="004354DD" w:rsidRDefault="00E31A1C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Pogodba na podlagi katere se prenaša lastninska pravica na nepremičnini ali s katero se ustanavlja druga stvarna pravica na nepremičnini, mora biti sklenjena v pisni obliki. </w:t>
      </w:r>
    </w:p>
    <w:p w:rsidR="00E31A1C" w:rsidRPr="004354DD" w:rsidRDefault="00E31A1C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proofErr w:type="spellStart"/>
      <w:r w:rsidRPr="004354DD">
        <w:rPr>
          <w:sz w:val="24"/>
          <w:szCs w:val="24"/>
          <w:highlight w:val="yellow"/>
        </w:rPr>
        <w:t>Oblične</w:t>
      </w:r>
      <w:proofErr w:type="spellEnd"/>
      <w:r w:rsidRPr="004354DD">
        <w:rPr>
          <w:sz w:val="24"/>
          <w:szCs w:val="24"/>
          <w:highlight w:val="yellow"/>
        </w:rPr>
        <w:t xml:space="preserve"> pogodbe je mogoč razvezati z </w:t>
      </w:r>
      <w:proofErr w:type="spellStart"/>
      <w:r w:rsidRPr="004354DD">
        <w:rPr>
          <w:sz w:val="24"/>
          <w:szCs w:val="24"/>
          <w:highlight w:val="yellow"/>
        </w:rPr>
        <w:t>neobličnim</w:t>
      </w:r>
      <w:proofErr w:type="spellEnd"/>
      <w:r w:rsidRPr="004354DD">
        <w:rPr>
          <w:sz w:val="24"/>
          <w:szCs w:val="24"/>
          <w:highlight w:val="yellow"/>
        </w:rPr>
        <w:t xml:space="preserve"> sporazumom, razen če je za določen primer z zakonom predvideno kaj drugega ali če namen, zaradi katerega je za sklenitev pogodbe predpisana oblika, zahteva za razvezo pogodbe enako obliko. </w:t>
      </w:r>
    </w:p>
    <w:p w:rsidR="00E31A1C" w:rsidRPr="004354DD" w:rsidRDefault="00E31A1C" w:rsidP="000B7686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Pogodba za katero se zahteva pisna oblika, je veljavna, čeprav ni bila sklenjena v </w:t>
      </w:r>
      <w:proofErr w:type="spellStart"/>
      <w:r w:rsidRPr="004354DD">
        <w:rPr>
          <w:sz w:val="24"/>
          <w:szCs w:val="24"/>
          <w:highlight w:val="yellow"/>
        </w:rPr>
        <w:t>teji</w:t>
      </w:r>
      <w:proofErr w:type="spellEnd"/>
      <w:r w:rsidRPr="004354DD">
        <w:rPr>
          <w:sz w:val="24"/>
          <w:szCs w:val="24"/>
          <w:highlight w:val="yellow"/>
        </w:rPr>
        <w:t xml:space="preserve"> obliki, če sta pogodbeni stranki v celoti ali v pretežnem delu izpolnili obveznosti, ki so iz nje nastale, razen če iz namena, zaradi katerega je oblika predpisana, očitno ne izhaja kaj drugega. </w:t>
      </w:r>
    </w:p>
    <w:p w:rsidR="006D48A2" w:rsidRPr="004354DD" w:rsidRDefault="00E31A1C" w:rsidP="008A1F89">
      <w:pPr>
        <w:pStyle w:val="Odstavekseznama"/>
        <w:numPr>
          <w:ilvl w:val="0"/>
          <w:numId w:val="7"/>
        </w:numPr>
        <w:rPr>
          <w:sz w:val="24"/>
          <w:szCs w:val="24"/>
          <w:highlight w:val="yellow"/>
        </w:rPr>
      </w:pPr>
      <w:r w:rsidRPr="004354DD">
        <w:rPr>
          <w:sz w:val="24"/>
          <w:szCs w:val="24"/>
          <w:highlight w:val="yellow"/>
        </w:rPr>
        <w:t xml:space="preserve">Če je pogodba sklenjena pod </w:t>
      </w:r>
      <w:proofErr w:type="spellStart"/>
      <w:r w:rsidRPr="004354DD">
        <w:rPr>
          <w:sz w:val="24"/>
          <w:szCs w:val="24"/>
          <w:highlight w:val="yellow"/>
        </w:rPr>
        <w:t>odložnim</w:t>
      </w:r>
      <w:proofErr w:type="spellEnd"/>
      <w:r w:rsidRPr="004354DD">
        <w:rPr>
          <w:sz w:val="24"/>
          <w:szCs w:val="24"/>
          <w:highlight w:val="yellow"/>
        </w:rPr>
        <w:t xml:space="preserve"> pogojem, sme upnik, čigar pravica je pogojena, zahtevati ustrezno zavarovanje te pravice, če je njena uveljavitev v nevarnosti. </w:t>
      </w:r>
    </w:p>
    <w:p w:rsidR="006D48A2" w:rsidRDefault="006D48A2" w:rsidP="008A1F89">
      <w:pPr>
        <w:rPr>
          <w:sz w:val="24"/>
          <w:szCs w:val="24"/>
        </w:rPr>
      </w:pPr>
    </w:p>
    <w:p w:rsidR="006D48A2" w:rsidRDefault="006D48A2" w:rsidP="008A1F89">
      <w:pPr>
        <w:rPr>
          <w:sz w:val="24"/>
          <w:szCs w:val="24"/>
        </w:rPr>
      </w:pPr>
    </w:p>
    <w:p w:rsidR="006D48A2" w:rsidRDefault="006D48A2" w:rsidP="006D48A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Kako je v spodaj navedenih primerih nastalo obligacijsko razmerje:</w:t>
      </w:r>
    </w:p>
    <w:p w:rsidR="006D48A2" w:rsidRDefault="006D48A2" w:rsidP="006D48A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Zadeli ste dobitek in sicer potovanje v tujino</w:t>
      </w:r>
    </w:p>
    <w:p w:rsidR="006D48A2" w:rsidRPr="004444A1" w:rsidRDefault="004444A1" w:rsidP="006D48A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</w:t>
      </w:r>
      <w:r w:rsidR="00E31A1C" w:rsidRPr="004354DD">
        <w:rPr>
          <w:b/>
          <w:color w:val="FF0000"/>
          <w:sz w:val="24"/>
          <w:szCs w:val="24"/>
          <w:highlight w:val="yellow"/>
        </w:rPr>
        <w:t>Enostransko</w:t>
      </w:r>
      <w:r w:rsidR="00E31A1C" w:rsidRPr="004444A1">
        <w:rPr>
          <w:b/>
          <w:color w:val="FF0000"/>
          <w:sz w:val="24"/>
          <w:szCs w:val="24"/>
        </w:rPr>
        <w:t xml:space="preserve"> </w:t>
      </w:r>
    </w:p>
    <w:p w:rsidR="006D48A2" w:rsidRDefault="006D48A2" w:rsidP="006D48A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Sosed vam je po nesreči razbil avto</w:t>
      </w:r>
    </w:p>
    <w:p w:rsidR="006D48A2" w:rsidRPr="004444A1" w:rsidRDefault="00E31A1C" w:rsidP="004444A1">
      <w:pPr>
        <w:ind w:left="360"/>
        <w:rPr>
          <w:b/>
          <w:color w:val="FF0000"/>
          <w:sz w:val="24"/>
          <w:szCs w:val="24"/>
        </w:rPr>
      </w:pPr>
      <w:r w:rsidRPr="004354DD">
        <w:rPr>
          <w:b/>
          <w:color w:val="FF0000"/>
          <w:sz w:val="24"/>
          <w:szCs w:val="24"/>
          <w:highlight w:val="yellow"/>
        </w:rPr>
        <w:t>Brez volje strank</w:t>
      </w:r>
    </w:p>
    <w:p w:rsidR="006D48A2" w:rsidRDefault="006D48A2" w:rsidP="006D48A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Kupili ste novo televizijo.</w:t>
      </w:r>
    </w:p>
    <w:p w:rsidR="006D48A2" w:rsidRPr="004444A1" w:rsidRDefault="00E31A1C" w:rsidP="004444A1">
      <w:pPr>
        <w:ind w:left="360"/>
        <w:rPr>
          <w:b/>
          <w:color w:val="FF0000"/>
          <w:sz w:val="24"/>
          <w:szCs w:val="24"/>
        </w:rPr>
      </w:pPr>
      <w:r w:rsidRPr="004354DD">
        <w:rPr>
          <w:b/>
          <w:color w:val="FF0000"/>
          <w:sz w:val="24"/>
          <w:szCs w:val="24"/>
          <w:highlight w:val="yellow"/>
        </w:rPr>
        <w:t>S pogodbo</w:t>
      </w:r>
    </w:p>
    <w:p w:rsidR="006D48A2" w:rsidRDefault="006D48A2" w:rsidP="006D48A2">
      <w:pPr>
        <w:rPr>
          <w:sz w:val="24"/>
          <w:szCs w:val="24"/>
        </w:rPr>
      </w:pPr>
    </w:p>
    <w:p w:rsidR="006D48A2" w:rsidRDefault="001B4CBE" w:rsidP="006D48A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 nastanku škode ločimo dve vrsti odgovornosti in sicer: objektivno in subjektivno.</w:t>
      </w:r>
    </w:p>
    <w:p w:rsidR="001B4CBE" w:rsidRDefault="001B4CBE" w:rsidP="001B4CBE">
      <w:pPr>
        <w:rPr>
          <w:sz w:val="24"/>
          <w:szCs w:val="24"/>
        </w:rPr>
      </w:pPr>
      <w:r>
        <w:rPr>
          <w:sz w:val="24"/>
          <w:szCs w:val="24"/>
        </w:rPr>
        <w:t>Pri objektivni smo odgovorni, četudi mi nismo neposredno povzročili škode ( npr. župan je vedel, da vsi čez vas šibajo 100km na uro pa ni nič storil. Nekoga pa je nekdo povozil do smrti).</w:t>
      </w:r>
    </w:p>
    <w:p w:rsidR="001B4CBE" w:rsidRDefault="001B4CBE" w:rsidP="001B4CBE">
      <w:pPr>
        <w:rPr>
          <w:sz w:val="24"/>
          <w:szCs w:val="24"/>
        </w:rPr>
      </w:pPr>
      <w:r>
        <w:rPr>
          <w:sz w:val="24"/>
          <w:szCs w:val="24"/>
        </w:rPr>
        <w:t>Pri subjektivni odgovornosti pa smo mi krivi, ker smo sami povzročili škodo.</w:t>
      </w:r>
    </w:p>
    <w:p w:rsidR="001B4CBE" w:rsidRDefault="001B4CBE" w:rsidP="001B4CBE">
      <w:pPr>
        <w:rPr>
          <w:sz w:val="24"/>
          <w:szCs w:val="24"/>
        </w:rPr>
      </w:pPr>
      <w:r>
        <w:rPr>
          <w:sz w:val="24"/>
          <w:szCs w:val="24"/>
        </w:rPr>
        <w:t>Napišite za katero odgovornost gre:</w:t>
      </w:r>
    </w:p>
    <w:p w:rsidR="001B4CBE" w:rsidRDefault="001B4CBE" w:rsidP="001B4CB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Prijatelju ste s ključem popraskali avto.</w:t>
      </w:r>
      <w:r w:rsidR="00E31A1C">
        <w:rPr>
          <w:sz w:val="24"/>
          <w:szCs w:val="24"/>
        </w:rPr>
        <w:t xml:space="preserve"> </w:t>
      </w:r>
      <w:r w:rsidR="00E31A1C" w:rsidRPr="004354DD">
        <w:rPr>
          <w:b/>
          <w:sz w:val="24"/>
          <w:szCs w:val="24"/>
          <w:highlight w:val="yellow"/>
        </w:rPr>
        <w:t>subjektivno</w:t>
      </w:r>
    </w:p>
    <w:p w:rsidR="001B4CBE" w:rsidRDefault="001B4CBE" w:rsidP="001B4CB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poledeneli cesti je prišlo do verižnega trčenja.</w:t>
      </w:r>
      <w:r w:rsidR="00E31A1C">
        <w:rPr>
          <w:sz w:val="24"/>
          <w:szCs w:val="24"/>
        </w:rPr>
        <w:t xml:space="preserve"> </w:t>
      </w:r>
      <w:r w:rsidR="00262C42" w:rsidRPr="004354DD">
        <w:rPr>
          <w:b/>
          <w:sz w:val="24"/>
          <w:szCs w:val="24"/>
          <w:highlight w:val="yellow"/>
        </w:rPr>
        <w:t>Objektivno</w:t>
      </w:r>
      <w:r w:rsidR="00262C42">
        <w:rPr>
          <w:sz w:val="24"/>
          <w:szCs w:val="24"/>
        </w:rPr>
        <w:t xml:space="preserve"> </w:t>
      </w:r>
    </w:p>
    <w:p w:rsidR="001B4CBE" w:rsidRDefault="001B4CBE" w:rsidP="001B4CB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Nekdo je vlomil v trgovino.</w:t>
      </w:r>
      <w:r w:rsidR="00262C42">
        <w:rPr>
          <w:sz w:val="24"/>
          <w:szCs w:val="24"/>
        </w:rPr>
        <w:t xml:space="preserve"> </w:t>
      </w:r>
      <w:r w:rsidR="00262C42" w:rsidRPr="00262C42">
        <w:rPr>
          <w:b/>
          <w:sz w:val="24"/>
          <w:szCs w:val="24"/>
        </w:rPr>
        <w:t>s</w:t>
      </w:r>
      <w:r w:rsidR="00262C42" w:rsidRPr="004354DD">
        <w:rPr>
          <w:b/>
          <w:sz w:val="24"/>
          <w:szCs w:val="24"/>
          <w:highlight w:val="yellow"/>
        </w:rPr>
        <w:t>ubjektivno</w:t>
      </w:r>
    </w:p>
    <w:p w:rsidR="001B4CBE" w:rsidRDefault="001B4CBE" w:rsidP="001B4CB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Minister ni pravočasno sprejel ukrepov glede širjenja virusa.</w:t>
      </w:r>
      <w:r w:rsidR="00262C42">
        <w:rPr>
          <w:sz w:val="24"/>
          <w:szCs w:val="24"/>
        </w:rPr>
        <w:t xml:space="preserve"> </w:t>
      </w:r>
      <w:r w:rsidR="00262C42" w:rsidRPr="00262C42">
        <w:rPr>
          <w:b/>
          <w:sz w:val="24"/>
          <w:szCs w:val="24"/>
        </w:rPr>
        <w:t>O</w:t>
      </w:r>
      <w:r w:rsidR="00262C42" w:rsidRPr="004354DD">
        <w:rPr>
          <w:b/>
          <w:sz w:val="24"/>
          <w:szCs w:val="24"/>
          <w:highlight w:val="yellow"/>
        </w:rPr>
        <w:t>bjektivno</w:t>
      </w:r>
      <w:r w:rsidR="00262C42" w:rsidRPr="00262C42">
        <w:rPr>
          <w:b/>
          <w:sz w:val="24"/>
          <w:szCs w:val="24"/>
        </w:rPr>
        <w:t xml:space="preserve"> </w:t>
      </w:r>
    </w:p>
    <w:p w:rsidR="001B4CBE" w:rsidRDefault="001B4CBE" w:rsidP="001B4CBE">
      <w:pPr>
        <w:rPr>
          <w:sz w:val="24"/>
          <w:szCs w:val="24"/>
        </w:rPr>
      </w:pPr>
    </w:p>
    <w:p w:rsidR="001B4CBE" w:rsidRDefault="001B4CBE" w:rsidP="001B4CBE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Učili smo se, da so bistvene sestavine prodajne pogodbe: kupec, prodajalec, določitev stvari kot je 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>: kakovost, cena in količina.</w:t>
      </w:r>
    </w:p>
    <w:p w:rsidR="009057B9" w:rsidRDefault="001B4CBE" w:rsidP="001B4CBE">
      <w:pPr>
        <w:rPr>
          <w:sz w:val="24"/>
          <w:szCs w:val="24"/>
        </w:rPr>
      </w:pPr>
      <w:r>
        <w:rPr>
          <w:sz w:val="24"/>
          <w:szCs w:val="24"/>
        </w:rPr>
        <w:t>Stvar(izdelek</w:t>
      </w:r>
      <w:r w:rsidR="009057B9">
        <w:rPr>
          <w:sz w:val="24"/>
          <w:szCs w:val="24"/>
        </w:rPr>
        <w:t xml:space="preserve"> ali storitev</w:t>
      </w:r>
      <w:r>
        <w:rPr>
          <w:sz w:val="24"/>
          <w:szCs w:val="24"/>
        </w:rPr>
        <w:t>), ki je predmet pogodbe pa mora biti: v prometu, dopusten, mogoč, določen ali vsaj določljiv.</w:t>
      </w:r>
    </w:p>
    <w:p w:rsidR="009057B9" w:rsidRDefault="009057B9" w:rsidP="001B4CBE">
      <w:pPr>
        <w:rPr>
          <w:sz w:val="24"/>
          <w:szCs w:val="24"/>
        </w:rPr>
      </w:pPr>
      <w:r>
        <w:rPr>
          <w:sz w:val="24"/>
          <w:szCs w:val="24"/>
        </w:rPr>
        <w:t>Opredelite kaj pomeni, da je stvar: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057B9" w:rsidTr="009057B9">
        <w:tc>
          <w:tcPr>
            <w:tcW w:w="2405" w:type="dxa"/>
          </w:tcPr>
          <w:p w:rsidR="009057B9" w:rsidRDefault="009057B9" w:rsidP="001B4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dopustna</w:t>
            </w:r>
          </w:p>
        </w:tc>
        <w:tc>
          <w:tcPr>
            <w:tcW w:w="6657" w:type="dxa"/>
          </w:tcPr>
          <w:p w:rsidR="009057B9" w:rsidRPr="004354DD" w:rsidRDefault="00262C42" w:rsidP="001B4C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Ni v nasprotju z ustavo, prisilnimi predpisi ali moralnimi načeli (orožje, droga, ljudi, človeški organi)</w:t>
            </w:r>
          </w:p>
          <w:p w:rsidR="009057B9" w:rsidRPr="004354DD" w:rsidRDefault="009057B9" w:rsidP="001B4CBE">
            <w:pPr>
              <w:rPr>
                <w:sz w:val="24"/>
                <w:szCs w:val="24"/>
                <w:highlight w:val="yellow"/>
              </w:rPr>
            </w:pPr>
          </w:p>
        </w:tc>
      </w:tr>
      <w:tr w:rsidR="009057B9" w:rsidTr="009057B9">
        <w:tc>
          <w:tcPr>
            <w:tcW w:w="2405" w:type="dxa"/>
          </w:tcPr>
          <w:p w:rsidR="009057B9" w:rsidRDefault="009057B9" w:rsidP="001B4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mogoča</w:t>
            </w:r>
          </w:p>
        </w:tc>
        <w:tc>
          <w:tcPr>
            <w:tcW w:w="6657" w:type="dxa"/>
          </w:tcPr>
          <w:p w:rsidR="009057B9" w:rsidRPr="004354DD" w:rsidRDefault="00262C42" w:rsidP="001B4C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Stvar mora obstajati (</w:t>
            </w:r>
            <w:r w:rsidR="004444A1" w:rsidRPr="004354DD">
              <w:rPr>
                <w:sz w:val="24"/>
                <w:szCs w:val="24"/>
                <w:highlight w:val="yellow"/>
              </w:rPr>
              <w:t xml:space="preserve"> ne moremo prodajati npr. </w:t>
            </w:r>
            <w:r w:rsidRPr="004354DD">
              <w:rPr>
                <w:sz w:val="24"/>
                <w:szCs w:val="24"/>
                <w:highlight w:val="yellow"/>
              </w:rPr>
              <w:t>parcel</w:t>
            </w:r>
            <w:r w:rsidR="004444A1" w:rsidRPr="004354DD">
              <w:rPr>
                <w:sz w:val="24"/>
                <w:szCs w:val="24"/>
                <w:highlight w:val="yellow"/>
              </w:rPr>
              <w:t>e</w:t>
            </w:r>
            <w:r w:rsidRPr="004354DD">
              <w:rPr>
                <w:sz w:val="24"/>
                <w:szCs w:val="24"/>
                <w:highlight w:val="yellow"/>
              </w:rPr>
              <w:t xml:space="preserve"> na Luni)</w:t>
            </w:r>
            <w:r w:rsidR="004444A1" w:rsidRPr="004354DD">
              <w:rPr>
                <w:sz w:val="24"/>
                <w:szCs w:val="24"/>
                <w:highlight w:val="yellow"/>
              </w:rPr>
              <w:t>.</w:t>
            </w:r>
          </w:p>
          <w:p w:rsidR="004444A1" w:rsidRPr="004354DD" w:rsidRDefault="004444A1" w:rsidP="001B4CBE">
            <w:pPr>
              <w:rPr>
                <w:sz w:val="24"/>
                <w:szCs w:val="24"/>
                <w:highlight w:val="yellow"/>
              </w:rPr>
            </w:pPr>
          </w:p>
          <w:p w:rsidR="004444A1" w:rsidRPr="004354DD" w:rsidRDefault="004444A1" w:rsidP="001B4C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b/>
                <w:color w:val="FF0000"/>
                <w:sz w:val="24"/>
                <w:szCs w:val="24"/>
                <w:highlight w:val="yellow"/>
              </w:rPr>
              <w:t>Kot zanimivost</w:t>
            </w:r>
            <w:r w:rsidRPr="004354DD">
              <w:rPr>
                <w:sz w:val="24"/>
                <w:szCs w:val="24"/>
                <w:highlight w:val="yellow"/>
              </w:rPr>
              <w:t>: Včasih sem  dijakom rekla, da ne moremo prodajati tudi zraka, pa sem brala, da Kitajci zrak prodajajo v pločevinkah, ker imajo tako onesnažen, da si kdaj kupijo čist zrak v pločevinki. Tako da primer, da prodajate zrak je sedaj mogoč.</w:t>
            </w:r>
          </w:p>
          <w:p w:rsidR="009057B9" w:rsidRPr="004354DD" w:rsidRDefault="009057B9" w:rsidP="001B4CBE">
            <w:pPr>
              <w:rPr>
                <w:sz w:val="24"/>
                <w:szCs w:val="24"/>
                <w:highlight w:val="yellow"/>
              </w:rPr>
            </w:pPr>
          </w:p>
        </w:tc>
      </w:tr>
      <w:tr w:rsidR="009057B9" w:rsidTr="009057B9">
        <w:tc>
          <w:tcPr>
            <w:tcW w:w="2405" w:type="dxa"/>
          </w:tcPr>
          <w:p w:rsidR="009057B9" w:rsidRDefault="009057B9" w:rsidP="001B4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določena ali določljiva</w:t>
            </w:r>
          </w:p>
        </w:tc>
        <w:tc>
          <w:tcPr>
            <w:tcW w:w="6657" w:type="dxa"/>
          </w:tcPr>
          <w:p w:rsidR="009057B9" w:rsidRPr="004354DD" w:rsidRDefault="00262C42" w:rsidP="001B4C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 xml:space="preserve">V pogodbi morajo biti navedeni podatki, ki natančno določajo stvari kakovosti, izvor, lastnosti,… </w:t>
            </w:r>
          </w:p>
          <w:p w:rsidR="009057B9" w:rsidRPr="004354DD" w:rsidRDefault="009057B9" w:rsidP="001B4CBE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1B4CBE" w:rsidRPr="001B4CBE" w:rsidRDefault="001B4CBE" w:rsidP="001B4CB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9057B9" w:rsidRPr="001B4CBE" w:rsidRDefault="001B4CBE" w:rsidP="001B4CBE">
      <w:pPr>
        <w:rPr>
          <w:sz w:val="24"/>
          <w:szCs w:val="24"/>
        </w:rPr>
      </w:pPr>
      <w:r w:rsidRPr="001B4CBE">
        <w:rPr>
          <w:sz w:val="24"/>
          <w:szCs w:val="24"/>
        </w:rPr>
        <w:t xml:space="preserve"> </w:t>
      </w:r>
      <w:r w:rsidR="009057B9">
        <w:rPr>
          <w:sz w:val="24"/>
          <w:szCs w:val="24"/>
        </w:rPr>
        <w:t>Če navedeni pogoji niso izpolnjeni je pogodba: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1"/>
        <w:gridCol w:w="277"/>
        <w:gridCol w:w="344"/>
        <w:gridCol w:w="371"/>
        <w:gridCol w:w="502"/>
      </w:tblGrid>
      <w:tr w:rsidR="009057B9" w:rsidRPr="004354DD" w:rsidTr="009057B9">
        <w:trPr>
          <w:trHeight w:val="298"/>
        </w:trPr>
        <w:tc>
          <w:tcPr>
            <w:tcW w:w="173" w:type="dxa"/>
          </w:tcPr>
          <w:p w:rsidR="009057B9" w:rsidRPr="004354DD" w:rsidRDefault="009057B9" w:rsidP="001B4C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173" w:type="dxa"/>
          </w:tcPr>
          <w:p w:rsidR="009057B9" w:rsidRPr="004354DD" w:rsidRDefault="00262C42" w:rsidP="001B4C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I</w:t>
            </w:r>
          </w:p>
        </w:tc>
        <w:tc>
          <w:tcPr>
            <w:tcW w:w="173" w:type="dxa"/>
          </w:tcPr>
          <w:p w:rsidR="009057B9" w:rsidRPr="004354DD" w:rsidRDefault="00262C42" w:rsidP="001B4C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Č</w:t>
            </w:r>
          </w:p>
        </w:tc>
        <w:tc>
          <w:tcPr>
            <w:tcW w:w="173" w:type="dxa"/>
          </w:tcPr>
          <w:p w:rsidR="009057B9" w:rsidRPr="004354DD" w:rsidRDefault="00262C42" w:rsidP="001B4C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502" w:type="dxa"/>
          </w:tcPr>
          <w:p w:rsidR="009057B9" w:rsidRPr="004354DD" w:rsidRDefault="009057B9" w:rsidP="001B4CBE">
            <w:pPr>
              <w:rPr>
                <w:sz w:val="24"/>
                <w:szCs w:val="24"/>
                <w:highlight w:val="yellow"/>
              </w:rPr>
            </w:pPr>
            <w:r w:rsidRPr="004354DD">
              <w:rPr>
                <w:sz w:val="24"/>
                <w:szCs w:val="24"/>
                <w:highlight w:val="yellow"/>
              </w:rPr>
              <w:t>A</w:t>
            </w:r>
          </w:p>
        </w:tc>
      </w:tr>
    </w:tbl>
    <w:p w:rsidR="001B4CBE" w:rsidRDefault="001B4CBE" w:rsidP="001B4CBE">
      <w:pPr>
        <w:rPr>
          <w:sz w:val="24"/>
          <w:szCs w:val="24"/>
        </w:rPr>
      </w:pPr>
    </w:p>
    <w:p w:rsidR="00F52611" w:rsidRDefault="00F52611" w:rsidP="00F52611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 opisu stvari je zelo pomembna kakovost. Moramo jo določiti, da ne bo prišlo do nepravilnosti pri izpolnitvi pogodbe:</w:t>
      </w:r>
    </w:p>
    <w:p w:rsidR="00F52611" w:rsidRPr="00F52611" w:rsidRDefault="00F52611" w:rsidP="00F52611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F52611" w:rsidRPr="00F52611" w:rsidRDefault="00F52611" w:rsidP="00F52611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F52611" w:rsidRPr="000B2CB3" w:rsidRDefault="00F52611" w:rsidP="00F52611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0B2CB3">
        <w:rPr>
          <w:rFonts w:ascii="Times New Roman" w:hAnsi="Times New Roman"/>
          <w:b/>
          <w:sz w:val="20"/>
          <w:szCs w:val="20"/>
        </w:rPr>
        <w:t>Kakovost blaga (kvaliteta)</w:t>
      </w:r>
    </w:p>
    <w:p w:rsidR="00F52611" w:rsidRPr="00F52611" w:rsidRDefault="00F52611" w:rsidP="00F52611">
      <w:pPr>
        <w:spacing w:after="0" w:line="240" w:lineRule="auto"/>
        <w:ind w:left="383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sz w:val="24"/>
          <w:szCs w:val="24"/>
        </w:rPr>
        <w:t>Kakovost je lastnost, ki jo izražamo:</w:t>
      </w:r>
    </w:p>
    <w:p w:rsidR="00F52611" w:rsidRPr="00F52611" w:rsidRDefault="00F52611" w:rsidP="00F52611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 xml:space="preserve">z blagovno znamko in storitveno znamko </w:t>
      </w:r>
      <w:r w:rsidRPr="00F52611">
        <w:rPr>
          <w:rFonts w:ascii="Arial" w:hAnsi="Arial" w:cs="Arial"/>
          <w:sz w:val="24"/>
          <w:szCs w:val="24"/>
        </w:rPr>
        <w:t xml:space="preserve">(to so posebne oznake, ki omogočajo razlikovanje določenih izdelkov in blaga od drugih podobnih izdelkov in blaga). Vrste blagovnih znamk: proizvajalcev (NIKE) trgovcev (BZ </w:t>
      </w:r>
      <w:proofErr w:type="spellStart"/>
      <w:r w:rsidRPr="00F52611">
        <w:rPr>
          <w:rFonts w:ascii="Arial" w:hAnsi="Arial" w:cs="Arial"/>
          <w:sz w:val="24"/>
          <w:szCs w:val="24"/>
        </w:rPr>
        <w:t>Merkator</w:t>
      </w:r>
      <w:proofErr w:type="spellEnd"/>
      <w:r w:rsidRPr="00F52611">
        <w:rPr>
          <w:rFonts w:ascii="Arial" w:hAnsi="Arial" w:cs="Arial"/>
          <w:sz w:val="24"/>
          <w:szCs w:val="24"/>
        </w:rPr>
        <w:t>) in združenj – slovenska vina;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>z vzorci</w:t>
      </w:r>
      <w:r w:rsidRPr="00F52611">
        <w:rPr>
          <w:rFonts w:ascii="Arial" w:hAnsi="Arial" w:cs="Arial"/>
          <w:sz w:val="24"/>
          <w:szCs w:val="24"/>
        </w:rPr>
        <w:t>, ki jih predloži kupec ali prodajalec (vzorci kopalnih kadi, ploščic, tkanine, pohištva …);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44A1">
        <w:rPr>
          <w:rFonts w:ascii="Arial" w:hAnsi="Arial" w:cs="Arial"/>
          <w:b/>
          <w:sz w:val="24"/>
          <w:szCs w:val="24"/>
        </w:rPr>
        <w:t>s poskušnjami</w:t>
      </w:r>
      <w:r w:rsidRPr="00F52611">
        <w:rPr>
          <w:rFonts w:ascii="Arial" w:hAnsi="Arial" w:cs="Arial"/>
          <w:sz w:val="24"/>
          <w:szCs w:val="24"/>
        </w:rPr>
        <w:t xml:space="preserve"> (testna vožnja, vinske poskušnje</w:t>
      </w:r>
      <w:r w:rsidR="004444A1">
        <w:rPr>
          <w:rFonts w:ascii="Arial" w:hAnsi="Arial" w:cs="Arial"/>
          <w:sz w:val="24"/>
          <w:szCs w:val="24"/>
        </w:rPr>
        <w:t xml:space="preserve">, </w:t>
      </w:r>
      <w:r w:rsidRPr="00F52611">
        <w:rPr>
          <w:rFonts w:ascii="Arial" w:hAnsi="Arial" w:cs="Arial"/>
          <w:sz w:val="24"/>
          <w:szCs w:val="24"/>
        </w:rPr>
        <w:t xml:space="preserve"> …);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 xml:space="preserve">z opisom fizikalnih ali kemičnih lastnosti blaga, </w:t>
      </w:r>
      <w:r w:rsidRPr="00F52611">
        <w:rPr>
          <w:rFonts w:ascii="Arial" w:hAnsi="Arial" w:cs="Arial"/>
          <w:sz w:val="24"/>
          <w:szCs w:val="24"/>
        </w:rPr>
        <w:t>zlasti izdelkov široke potrošnje</w:t>
      </w:r>
      <w:r w:rsidRPr="00F52611">
        <w:rPr>
          <w:rFonts w:ascii="Arial" w:hAnsi="Arial" w:cs="Arial"/>
          <w:b/>
          <w:sz w:val="24"/>
          <w:szCs w:val="24"/>
        </w:rPr>
        <w:t xml:space="preserve"> </w:t>
      </w:r>
      <w:r w:rsidRPr="00F52611">
        <w:rPr>
          <w:rFonts w:ascii="Arial" w:hAnsi="Arial" w:cs="Arial"/>
          <w:sz w:val="24"/>
          <w:szCs w:val="24"/>
        </w:rPr>
        <w:t>(barva, velikost, raztegljivost, oblika, zmogljivost … );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>z izkoristkom</w:t>
      </w:r>
      <w:r w:rsidRPr="00F52611">
        <w:rPr>
          <w:rFonts w:ascii="Arial" w:hAnsi="Arial" w:cs="Arial"/>
          <w:sz w:val="24"/>
          <w:szCs w:val="24"/>
        </w:rPr>
        <w:t xml:space="preserve"> (izkoristek ali donos čistega proizvoda iz surovin: sladkor, čista svila …)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>s trgovskimi razredi: I, II, III kvaliteta</w:t>
      </w:r>
      <w:r w:rsidRPr="00F52611">
        <w:rPr>
          <w:rFonts w:ascii="Arial" w:hAnsi="Arial" w:cs="Arial"/>
          <w:sz w:val="24"/>
          <w:szCs w:val="24"/>
        </w:rPr>
        <w:t xml:space="preserve"> (kmetijski proizvodi, les);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 xml:space="preserve">z oznako »takšno – kakršno« (fr. </w:t>
      </w:r>
      <w:proofErr w:type="spellStart"/>
      <w:r w:rsidRPr="00F52611">
        <w:rPr>
          <w:rFonts w:ascii="Arial" w:hAnsi="Arial" w:cs="Arial"/>
          <w:b/>
          <w:sz w:val="24"/>
          <w:szCs w:val="24"/>
        </w:rPr>
        <w:t>telle</w:t>
      </w:r>
      <w:proofErr w:type="spellEnd"/>
      <w:r w:rsidRPr="00F52611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F52611">
        <w:rPr>
          <w:rFonts w:ascii="Arial" w:hAnsi="Arial" w:cs="Arial"/>
          <w:b/>
          <w:sz w:val="24"/>
          <w:szCs w:val="24"/>
        </w:rPr>
        <w:t>quelle</w:t>
      </w:r>
      <w:proofErr w:type="spellEnd"/>
      <w:r w:rsidRPr="00F52611">
        <w:rPr>
          <w:rFonts w:ascii="Arial" w:hAnsi="Arial" w:cs="Arial"/>
          <w:b/>
          <w:sz w:val="24"/>
          <w:szCs w:val="24"/>
        </w:rPr>
        <w:t>);</w:t>
      </w:r>
      <w:r w:rsidRPr="00F52611">
        <w:rPr>
          <w:rFonts w:ascii="Arial" w:hAnsi="Arial" w:cs="Arial"/>
          <w:sz w:val="24"/>
          <w:szCs w:val="24"/>
        </w:rPr>
        <w:t xml:space="preserve"> prodajalec bo izročil blago določene količine, ne da bi pri tem izbral ali ločil boljši del blaga, vendar blago ne sme biti pokvarjeno, npr. gnilo; 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>s standardi:</w:t>
      </w:r>
      <w:r w:rsidRPr="00F52611">
        <w:rPr>
          <w:rFonts w:ascii="Arial" w:hAnsi="Arial" w:cs="Arial"/>
          <w:sz w:val="24"/>
          <w:szCs w:val="24"/>
        </w:rPr>
        <w:t xml:space="preserve"> z njimi želimo zlasti poenotiti pojme, oblike, lastnosti, dimenzije, kontrolne in merilne postopke, varnostne pogoje, dobavne pogoje… (slovenski, evropski, mednarodni, ameriški standardi…)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>s tipi:</w:t>
      </w:r>
      <w:r w:rsidRPr="00F52611">
        <w:rPr>
          <w:rFonts w:ascii="Arial" w:hAnsi="Arial" w:cs="Arial"/>
          <w:sz w:val="24"/>
          <w:szCs w:val="24"/>
        </w:rPr>
        <w:t xml:space="preserve"> z njimi poenotimo končne industrijske izdelke (tipi avtomobilov, koles, gospodinjski aparati, pohištvo …);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>z normo</w:t>
      </w:r>
      <w:r w:rsidRPr="00F52611">
        <w:rPr>
          <w:rFonts w:ascii="Arial" w:hAnsi="Arial" w:cs="Arial"/>
          <w:sz w:val="24"/>
          <w:szCs w:val="24"/>
        </w:rPr>
        <w:t xml:space="preserve"> (papir);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>s specifikacijo</w:t>
      </w:r>
      <w:r w:rsidRPr="00F52611">
        <w:rPr>
          <w:rFonts w:ascii="Arial" w:hAnsi="Arial" w:cs="Arial"/>
          <w:sz w:val="24"/>
          <w:szCs w:val="24"/>
        </w:rPr>
        <w:t>: v prodajni pogodbi se določi le vrsta blaga, kupec ima pravico, da v dogovorjenem roku natančneje določi (specificira) kakovost blaga (npr.  prodajalna obutve bo čevlje odpoklicala v 4 - delnih količinah po 10 parov – za vsako pošiljko čevljev bo natančneje določila: model, barvo, velikost);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>z izrazom običajna kakovost;</w:t>
      </w:r>
      <w:r w:rsidRPr="00F52611">
        <w:rPr>
          <w:rFonts w:ascii="Arial" w:hAnsi="Arial" w:cs="Arial"/>
          <w:sz w:val="24"/>
          <w:szCs w:val="24"/>
        </w:rPr>
        <w:t xml:space="preserve"> blago mora ustrezati lastnostim, ki so običajne. </w:t>
      </w:r>
    </w:p>
    <w:p w:rsidR="00F52611" w:rsidRPr="00F52611" w:rsidRDefault="00F52611" w:rsidP="00F52611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2611">
        <w:rPr>
          <w:rFonts w:ascii="Arial" w:hAnsi="Arial" w:cs="Arial"/>
          <w:b/>
          <w:sz w:val="24"/>
          <w:szCs w:val="24"/>
        </w:rPr>
        <w:t xml:space="preserve">z izrazom »ogledano – sprejeto«; </w:t>
      </w:r>
      <w:r w:rsidRPr="00F52611">
        <w:rPr>
          <w:rFonts w:ascii="Arial" w:hAnsi="Arial" w:cs="Arial"/>
          <w:sz w:val="24"/>
          <w:szCs w:val="24"/>
        </w:rPr>
        <w:t>kupec je pred sklenitvijo pogodbe pregledal blago in njegovo kakovost odobril (nakup rabljenega blaga, nakup blaga na avkciji ali dražbi).</w:t>
      </w:r>
    </w:p>
    <w:p w:rsidR="00F52611" w:rsidRDefault="00F52611" w:rsidP="00F526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52611" w:rsidRDefault="00F52611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42225" w:rsidRDefault="00D42225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42225" w:rsidRDefault="00D42225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42225" w:rsidRDefault="00D42225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42225" w:rsidRDefault="00D42225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42225" w:rsidRDefault="00D42225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42225" w:rsidRDefault="00D42225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42225" w:rsidRDefault="00D42225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42225" w:rsidRPr="00F52611" w:rsidRDefault="00D42225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42225" w:rsidRDefault="00F52611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F52611">
        <w:rPr>
          <w:rFonts w:ascii="Arial" w:hAnsi="Arial" w:cs="Arial"/>
          <w:color w:val="C00000"/>
          <w:sz w:val="24"/>
          <w:szCs w:val="24"/>
        </w:rPr>
        <w:lastRenderedPageBreak/>
        <w:t>Navedite, kako bi vi določili</w:t>
      </w:r>
      <w:r w:rsidR="00D42225">
        <w:rPr>
          <w:rFonts w:ascii="Arial" w:hAnsi="Arial" w:cs="Arial"/>
          <w:color w:val="C00000"/>
          <w:sz w:val="24"/>
          <w:szCs w:val="24"/>
        </w:rPr>
        <w:t xml:space="preserve"> kakovost v naslednjih primerih. </w:t>
      </w:r>
    </w:p>
    <w:p w:rsidR="00F52611" w:rsidRDefault="00D42225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D42225">
        <w:rPr>
          <w:rFonts w:ascii="Arial" w:hAnsi="Arial" w:cs="Arial"/>
          <w:color w:val="C00000"/>
          <w:sz w:val="24"/>
          <w:szCs w:val="24"/>
          <w:highlight w:val="green"/>
        </w:rPr>
        <w:t>Mogoče sem pozabila napisat, da je pri tej nalogi možnih več odgovorov.</w:t>
      </w:r>
      <w:r w:rsidR="0005494F">
        <w:rPr>
          <w:rFonts w:ascii="Arial" w:hAnsi="Arial" w:cs="Arial"/>
          <w:color w:val="C00000"/>
          <w:sz w:val="24"/>
          <w:szCs w:val="24"/>
        </w:rPr>
        <w:t xml:space="preserve"> Lahko je tudi še kak, ni nujno, da je samo moj odgovor pravi. </w:t>
      </w:r>
    </w:p>
    <w:p w:rsidR="00E27798" w:rsidRDefault="00E27798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E27798" w:rsidRPr="00F52611" w:rsidRDefault="00E27798" w:rsidP="00F52611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3771"/>
      </w:tblGrid>
      <w:tr w:rsidR="00E27798" w:rsidRPr="000B2CB3" w:rsidTr="00ED7561">
        <w:tc>
          <w:tcPr>
            <w:tcW w:w="5215" w:type="dxa"/>
            <w:shd w:val="clear" w:color="auto" w:fill="F2F2F2"/>
          </w:tcPr>
          <w:p w:rsidR="00E27798" w:rsidRPr="000B2CB3" w:rsidRDefault="00E27798" w:rsidP="00ED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771" w:type="dxa"/>
            <w:shd w:val="clear" w:color="auto" w:fill="F2F2F2"/>
          </w:tcPr>
          <w:p w:rsidR="00E27798" w:rsidRPr="000B2CB3" w:rsidRDefault="00E27798" w:rsidP="00ED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0B2CB3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Določanje kakovosti blaga</w:t>
            </w: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D42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Trgovec s čevlji na drob</w:t>
            </w:r>
            <w:r w:rsidR="00D42225"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n</w:t>
            </w: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 xml:space="preserve">o želi nabaviti čevlje za prihodnjo sezono. </w:t>
            </w:r>
          </w:p>
        </w:tc>
        <w:tc>
          <w:tcPr>
            <w:tcW w:w="3771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</w:p>
          <w:p w:rsidR="00E27798" w:rsidRPr="004354DD" w:rsidRDefault="00262C42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Z blagovno in stori</w:t>
            </w:r>
            <w:r w:rsidR="007771E2"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t</w:t>
            </w: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 xml:space="preserve">veno znamko </w:t>
            </w:r>
            <w:r w:rsidR="004444A1"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, TIPI, OGLED, VZORCI</w:t>
            </w: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Kmet namerava kupiti nov traktor.</w:t>
            </w:r>
          </w:p>
        </w:tc>
        <w:tc>
          <w:tcPr>
            <w:tcW w:w="3771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</w:p>
          <w:p w:rsidR="00E27798" w:rsidRPr="004354DD" w:rsidRDefault="00262C42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Z blagovno in storitveno znamko</w:t>
            </w:r>
            <w:r w:rsidR="004444A1"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, TIPI</w:t>
            </w: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Gospodinja kupi jabolka in hruške na tržnici.</w:t>
            </w:r>
          </w:p>
        </w:tc>
        <w:tc>
          <w:tcPr>
            <w:tcW w:w="3771" w:type="dxa"/>
          </w:tcPr>
          <w:p w:rsidR="00E27798" w:rsidRPr="004354DD" w:rsidRDefault="007771E2" w:rsidP="004444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 xml:space="preserve">Takšno-kakršno </w:t>
            </w:r>
            <w:r w:rsidR="004444A1"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, S POSKUŠNJO</w:t>
            </w: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Trgovec z rabljenimi vozili kupi rabljen avto.</w:t>
            </w:r>
          </w:p>
        </w:tc>
        <w:tc>
          <w:tcPr>
            <w:tcW w:w="3771" w:type="dxa"/>
          </w:tcPr>
          <w:p w:rsidR="00E27798" w:rsidRPr="004354DD" w:rsidRDefault="007771E2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Z izrazom ogledano-sprejeto</w:t>
            </w:r>
          </w:p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V megamarketu kupiš čokolado.</w:t>
            </w:r>
          </w:p>
        </w:tc>
        <w:tc>
          <w:tcPr>
            <w:tcW w:w="3771" w:type="dxa"/>
          </w:tcPr>
          <w:p w:rsidR="00E27798" w:rsidRPr="004354DD" w:rsidRDefault="007771E2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Običajna kakovost</w:t>
            </w:r>
            <w:r w:rsidR="004444A1"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, BLAGOVNA ZNAMKA</w:t>
            </w:r>
          </w:p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Trgovec z železnino pisno naroči vijake.</w:t>
            </w:r>
          </w:p>
        </w:tc>
        <w:tc>
          <w:tcPr>
            <w:tcW w:w="3771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</w:p>
          <w:p w:rsidR="00E27798" w:rsidRPr="004354DD" w:rsidRDefault="007771E2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S tipi</w:t>
            </w: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 xml:space="preserve">Po katalogu kupiš stereo napravo. </w:t>
            </w:r>
          </w:p>
        </w:tc>
        <w:tc>
          <w:tcPr>
            <w:tcW w:w="3771" w:type="dxa"/>
          </w:tcPr>
          <w:p w:rsidR="00E27798" w:rsidRPr="004354DD" w:rsidRDefault="007771E2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Običajna kakovost</w:t>
            </w:r>
            <w:r w:rsidR="004444A1"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, OGLED, BLAGOVNA ZNAMKA</w:t>
            </w:r>
          </w:p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V salonu pohištva kupite kuhinjske elemente.</w:t>
            </w:r>
          </w:p>
        </w:tc>
        <w:tc>
          <w:tcPr>
            <w:tcW w:w="3771" w:type="dxa"/>
          </w:tcPr>
          <w:p w:rsidR="00E27798" w:rsidRPr="004354DD" w:rsidRDefault="007771E2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 xml:space="preserve">S standardi </w:t>
            </w:r>
            <w:r w:rsidR="004444A1"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, OGLED, BLAGOVNA ZNAMKA</w:t>
            </w:r>
          </w:p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 xml:space="preserve">Družina želi kupiti nov pralni stroj. </w:t>
            </w:r>
          </w:p>
        </w:tc>
        <w:tc>
          <w:tcPr>
            <w:tcW w:w="3771" w:type="dxa"/>
          </w:tcPr>
          <w:p w:rsidR="00E27798" w:rsidRPr="004354DD" w:rsidRDefault="007771E2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Kakovostni razred</w:t>
            </w:r>
            <w:r w:rsidR="004444A1"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, BLAGOVNA ZNAMKA, TIP</w:t>
            </w:r>
          </w:p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Dijak želi kupiti kolo.</w:t>
            </w:r>
          </w:p>
        </w:tc>
        <w:tc>
          <w:tcPr>
            <w:tcW w:w="3771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</w:p>
          <w:p w:rsidR="00E27798" w:rsidRPr="004354DD" w:rsidRDefault="007771E2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Ogledano-sprejeto</w:t>
            </w:r>
          </w:p>
        </w:tc>
      </w:tr>
      <w:tr w:rsidR="00E27798" w:rsidRPr="004354DD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Sosedovi želijo kupiti sliko znanega slovenskega umetnika.</w:t>
            </w:r>
          </w:p>
        </w:tc>
        <w:tc>
          <w:tcPr>
            <w:tcW w:w="3771" w:type="dxa"/>
          </w:tcPr>
          <w:p w:rsidR="00E27798" w:rsidRPr="004354DD" w:rsidRDefault="004444A1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OGLED</w:t>
            </w:r>
          </w:p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E27798" w:rsidRPr="000B2CB3" w:rsidTr="00ED7561">
        <w:tc>
          <w:tcPr>
            <w:tcW w:w="5215" w:type="dxa"/>
          </w:tcPr>
          <w:p w:rsidR="00E27798" w:rsidRPr="004354DD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Prodajalec kopalniške opreme želi pisno naročiti italijanske keramične ploščice za kopalnice.</w:t>
            </w:r>
          </w:p>
        </w:tc>
        <w:tc>
          <w:tcPr>
            <w:tcW w:w="3771" w:type="dxa"/>
          </w:tcPr>
          <w:p w:rsidR="00E27798" w:rsidRDefault="007771E2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 xml:space="preserve">S </w:t>
            </w:r>
            <w:proofErr w:type="spellStart"/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sprecifikacijo</w:t>
            </w:r>
            <w:proofErr w:type="spellEnd"/>
            <w:r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 xml:space="preserve"> </w:t>
            </w:r>
            <w:r w:rsidR="004444A1" w:rsidRPr="004354D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l-SI"/>
              </w:rPr>
              <w:t>, TIPOM</w:t>
            </w:r>
          </w:p>
          <w:p w:rsidR="00E27798" w:rsidRPr="000B2CB3" w:rsidRDefault="00E27798" w:rsidP="00ED75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</w:tbl>
    <w:p w:rsidR="009057B9" w:rsidRPr="001B4CBE" w:rsidRDefault="009057B9" w:rsidP="001B4CBE">
      <w:pPr>
        <w:rPr>
          <w:sz w:val="24"/>
          <w:szCs w:val="24"/>
        </w:rPr>
      </w:pPr>
    </w:p>
    <w:p w:rsidR="001B4CBE" w:rsidRDefault="001B4CBE" w:rsidP="001B4CB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27798">
        <w:rPr>
          <w:sz w:val="24"/>
          <w:szCs w:val="24"/>
        </w:rPr>
        <w:t>Ponovimo še čas izročitve:</w:t>
      </w:r>
    </w:p>
    <w:p w:rsidR="00E27798" w:rsidRDefault="00E27798" w:rsidP="001B4CBE">
      <w:pPr>
        <w:rPr>
          <w:sz w:val="24"/>
          <w:szCs w:val="24"/>
        </w:rPr>
      </w:pPr>
      <w:r>
        <w:rPr>
          <w:sz w:val="24"/>
          <w:szCs w:val="24"/>
        </w:rPr>
        <w:t>Kako je določen čas izročitve, če:</w:t>
      </w:r>
    </w:p>
    <w:p w:rsidR="00E27798" w:rsidRPr="004354DD" w:rsidRDefault="00E27798" w:rsidP="00E27798">
      <w:pPr>
        <w:pStyle w:val="Odstavekseznama"/>
        <w:numPr>
          <w:ilvl w:val="1"/>
          <w:numId w:val="5"/>
        </w:numPr>
        <w:rPr>
          <w:sz w:val="24"/>
          <w:szCs w:val="24"/>
          <w:highlight w:val="yellow"/>
        </w:rPr>
      </w:pPr>
      <w:r>
        <w:rPr>
          <w:sz w:val="24"/>
          <w:szCs w:val="24"/>
        </w:rPr>
        <w:t>kupcu izročimo blago takoj ko ga plača</w:t>
      </w:r>
      <w:r w:rsidR="007771E2">
        <w:rPr>
          <w:sz w:val="24"/>
          <w:szCs w:val="24"/>
        </w:rPr>
        <w:t xml:space="preserve"> </w:t>
      </w:r>
      <w:r w:rsidR="007771E2" w:rsidRPr="004354DD">
        <w:rPr>
          <w:sz w:val="24"/>
          <w:szCs w:val="24"/>
          <w:highlight w:val="yellow"/>
        </w:rPr>
        <w:t>PROMTNO</w:t>
      </w:r>
    </w:p>
    <w:p w:rsidR="00E27798" w:rsidRDefault="00E27798" w:rsidP="00E27798">
      <w:pPr>
        <w:pStyle w:val="Odstavekseznama"/>
        <w:ind w:left="383"/>
        <w:rPr>
          <w:sz w:val="24"/>
          <w:szCs w:val="24"/>
        </w:rPr>
      </w:pPr>
    </w:p>
    <w:p w:rsidR="007771E2" w:rsidRPr="007771E2" w:rsidRDefault="00E27798" w:rsidP="007771E2">
      <w:pPr>
        <w:pStyle w:val="Odstavekseznama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kupcu moramo pripeljati torto točno 5.6.</w:t>
      </w:r>
      <w:r w:rsidR="007771E2">
        <w:rPr>
          <w:sz w:val="24"/>
          <w:szCs w:val="24"/>
        </w:rPr>
        <w:t xml:space="preserve"> </w:t>
      </w:r>
      <w:r w:rsidR="007771E2" w:rsidRPr="004354DD">
        <w:rPr>
          <w:sz w:val="24"/>
          <w:szCs w:val="24"/>
          <w:highlight w:val="yellow"/>
        </w:rPr>
        <w:t>TERMINSKO</w:t>
      </w:r>
      <w:r w:rsidR="00D42225" w:rsidRPr="004354DD">
        <w:rPr>
          <w:sz w:val="24"/>
          <w:szCs w:val="24"/>
          <w:highlight w:val="yellow"/>
        </w:rPr>
        <w:t xml:space="preserve"> ampak fiksn</w:t>
      </w:r>
      <w:r w:rsidR="00D42225">
        <w:rPr>
          <w:sz w:val="24"/>
          <w:szCs w:val="24"/>
        </w:rPr>
        <w:t>o</w:t>
      </w:r>
    </w:p>
    <w:p w:rsidR="00E27798" w:rsidRPr="004354DD" w:rsidRDefault="00E27798" w:rsidP="00E27798">
      <w:pPr>
        <w:pStyle w:val="Odstavekseznama"/>
        <w:numPr>
          <w:ilvl w:val="1"/>
          <w:numId w:val="5"/>
        </w:numPr>
        <w:rPr>
          <w:sz w:val="24"/>
          <w:szCs w:val="24"/>
          <w:highlight w:val="yellow"/>
        </w:rPr>
      </w:pPr>
      <w:r>
        <w:rPr>
          <w:sz w:val="24"/>
          <w:szCs w:val="24"/>
        </w:rPr>
        <w:t>kupcu moramo blago dostavit v 14 dneh</w:t>
      </w:r>
      <w:r w:rsidR="007771E2">
        <w:rPr>
          <w:sz w:val="24"/>
          <w:szCs w:val="24"/>
        </w:rPr>
        <w:t xml:space="preserve"> </w:t>
      </w:r>
      <w:r w:rsidR="007771E2" w:rsidRPr="004354DD">
        <w:rPr>
          <w:sz w:val="24"/>
          <w:szCs w:val="24"/>
          <w:highlight w:val="yellow"/>
        </w:rPr>
        <w:t>TERMINSKO -določeno obdobje</w:t>
      </w:r>
    </w:p>
    <w:p w:rsidR="00E27798" w:rsidRDefault="00E27798" w:rsidP="00E27798">
      <w:pPr>
        <w:pStyle w:val="Odstavekseznama"/>
        <w:ind w:left="660"/>
        <w:rPr>
          <w:sz w:val="24"/>
          <w:szCs w:val="24"/>
        </w:rPr>
      </w:pPr>
    </w:p>
    <w:p w:rsidR="00E27798" w:rsidRPr="00E27798" w:rsidRDefault="00E27798" w:rsidP="00E27798">
      <w:pPr>
        <w:pStyle w:val="Odstavekseznama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kupcu moramo blago dostavit do 15.5.</w:t>
      </w:r>
      <w:r w:rsidR="007771E2">
        <w:rPr>
          <w:sz w:val="24"/>
          <w:szCs w:val="24"/>
        </w:rPr>
        <w:t xml:space="preserve"> </w:t>
      </w:r>
      <w:r w:rsidR="007771E2" w:rsidRPr="004354DD">
        <w:rPr>
          <w:sz w:val="24"/>
          <w:szCs w:val="24"/>
          <w:highlight w:val="yellow"/>
        </w:rPr>
        <w:t>TERMINSKO</w:t>
      </w:r>
      <w:r w:rsidR="00D42225" w:rsidRPr="004354DD">
        <w:rPr>
          <w:sz w:val="24"/>
          <w:szCs w:val="24"/>
          <w:highlight w:val="yellow"/>
        </w:rPr>
        <w:t xml:space="preserve"> v določenem obdobju</w:t>
      </w:r>
      <w:bookmarkStart w:id="0" w:name="_GoBack"/>
      <w:bookmarkEnd w:id="0"/>
    </w:p>
    <w:sectPr w:rsidR="00E27798" w:rsidRPr="00E27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1102"/>
    <w:multiLevelType w:val="hybridMultilevel"/>
    <w:tmpl w:val="06402B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696E"/>
    <w:multiLevelType w:val="hybridMultilevel"/>
    <w:tmpl w:val="17D6D674"/>
    <w:lvl w:ilvl="0" w:tplc="8304A610">
      <w:start w:val="1"/>
      <w:numFmt w:val="bullet"/>
      <w:lvlText w:val=""/>
      <w:lvlJc w:val="left"/>
      <w:pPr>
        <w:tabs>
          <w:tab w:val="num" w:pos="383"/>
        </w:tabs>
        <w:ind w:left="383" w:hanging="283"/>
      </w:pPr>
      <w:rPr>
        <w:rFonts w:ascii="Symbol" w:hAnsi="Symbol" w:hint="default"/>
        <w:sz w:val="22"/>
        <w:szCs w:val="22"/>
      </w:rPr>
    </w:lvl>
    <w:lvl w:ilvl="1" w:tplc="372057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8304A610">
      <w:start w:val="1"/>
      <w:numFmt w:val="bullet"/>
      <w:lvlText w:val=""/>
      <w:lvlJc w:val="left"/>
      <w:pPr>
        <w:tabs>
          <w:tab w:val="num" w:pos="383"/>
        </w:tabs>
        <w:ind w:left="383" w:hanging="283"/>
      </w:pPr>
      <w:rPr>
        <w:rFonts w:ascii="Symbol" w:hAnsi="Symbol" w:hint="default"/>
        <w:sz w:val="22"/>
        <w:szCs w:val="22"/>
      </w:rPr>
    </w:lvl>
    <w:lvl w:ilvl="3" w:tplc="8D0C67BE">
      <w:start w:val="5"/>
      <w:numFmt w:val="decimal"/>
      <w:lvlText w:val="(%4)"/>
      <w:lvlJc w:val="left"/>
      <w:pPr>
        <w:tabs>
          <w:tab w:val="num" w:pos="460"/>
        </w:tabs>
        <w:ind w:left="460" w:hanging="360"/>
      </w:pPr>
      <w:rPr>
        <w:rFonts w:hint="default"/>
        <w:b/>
        <w:sz w:val="22"/>
        <w:szCs w:val="22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58C7"/>
    <w:multiLevelType w:val="hybridMultilevel"/>
    <w:tmpl w:val="3250B1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7F9"/>
    <w:multiLevelType w:val="hybridMultilevel"/>
    <w:tmpl w:val="483C988E"/>
    <w:lvl w:ilvl="0" w:tplc="E5F8EC6A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304A610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b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51BDF"/>
    <w:multiLevelType w:val="hybridMultilevel"/>
    <w:tmpl w:val="C01C7C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F6340"/>
    <w:multiLevelType w:val="hybridMultilevel"/>
    <w:tmpl w:val="A33A5CD2"/>
    <w:lvl w:ilvl="0" w:tplc="8304A61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1A2187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49C004B4"/>
    <w:multiLevelType w:val="hybridMultilevel"/>
    <w:tmpl w:val="10E2F1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BE"/>
    <w:rsid w:val="0005494F"/>
    <w:rsid w:val="00083792"/>
    <w:rsid w:val="000B7686"/>
    <w:rsid w:val="001B4CBE"/>
    <w:rsid w:val="00262C42"/>
    <w:rsid w:val="003A6086"/>
    <w:rsid w:val="004354DD"/>
    <w:rsid w:val="004444A1"/>
    <w:rsid w:val="004865C4"/>
    <w:rsid w:val="00543C01"/>
    <w:rsid w:val="005D22B6"/>
    <w:rsid w:val="006C01BE"/>
    <w:rsid w:val="006D48A2"/>
    <w:rsid w:val="007771E2"/>
    <w:rsid w:val="008553E9"/>
    <w:rsid w:val="008A1F89"/>
    <w:rsid w:val="008D25B7"/>
    <w:rsid w:val="009057B9"/>
    <w:rsid w:val="00C56A40"/>
    <w:rsid w:val="00CE1830"/>
    <w:rsid w:val="00D42225"/>
    <w:rsid w:val="00E27798"/>
    <w:rsid w:val="00E31A1C"/>
    <w:rsid w:val="00E91D9E"/>
    <w:rsid w:val="00F03364"/>
    <w:rsid w:val="00F5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39EA6-9893-49E2-90C3-09B0D0CD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01BE"/>
    <w:pPr>
      <w:ind w:left="720"/>
      <w:contextualSpacing/>
    </w:pPr>
  </w:style>
  <w:style w:type="table" w:styleId="Tabelamrea">
    <w:name w:val="Table Grid"/>
    <w:basedOn w:val="Navadnatabela"/>
    <w:uiPriority w:val="39"/>
    <w:rsid w:val="006C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8379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7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srs.si/Pis.web/pregledPredpisa?id=ZAKO12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2021-04-22T08:55:00Z</dcterms:created>
  <dcterms:modified xsi:type="dcterms:W3CDTF">2021-04-22T09:55:00Z</dcterms:modified>
</cp:coreProperties>
</file>