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031" w:rsidRDefault="00CA7031" w:rsidP="00CA7031">
      <w:pPr>
        <w:rPr>
          <w:b/>
        </w:rPr>
      </w:pPr>
      <w:r>
        <w:rPr>
          <w:noProof/>
          <w:lang w:val="sl-SI"/>
        </w:rPr>
        <w:drawing>
          <wp:inline distT="0" distB="0" distL="0" distR="0" wp14:anchorId="04D10BBA" wp14:editId="62BB8023">
            <wp:extent cx="1089660" cy="88011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89660" cy="880110"/>
                    </a:xfrm>
                    <a:prstGeom prst="rect">
                      <a:avLst/>
                    </a:prstGeom>
                    <a:ln/>
                  </pic:spPr>
                </pic:pic>
              </a:graphicData>
            </a:graphic>
          </wp:inline>
        </w:drawing>
      </w:r>
    </w:p>
    <w:p w:rsidR="00CA7031" w:rsidRPr="008709CF" w:rsidRDefault="00CA7031" w:rsidP="00CA7031">
      <w:pPr>
        <w:jc w:val="center"/>
        <w:rPr>
          <w:b/>
        </w:rPr>
      </w:pPr>
      <w:r w:rsidRPr="008709CF">
        <w:rPr>
          <w:b/>
        </w:rPr>
        <w:t>Aktiv učiteljev  SLOVENŠČINE</w:t>
      </w:r>
    </w:p>
    <w:p w:rsidR="00CA7031" w:rsidRPr="008709CF" w:rsidRDefault="00CA7031" w:rsidP="00CA7031">
      <w:pPr>
        <w:jc w:val="center"/>
        <w:rPr>
          <w:b/>
        </w:rPr>
      </w:pPr>
    </w:p>
    <w:p w:rsidR="00CA7031" w:rsidRPr="008709CF" w:rsidRDefault="00CA7031" w:rsidP="00CA7031">
      <w:pPr>
        <w:jc w:val="center"/>
        <w:rPr>
          <w:b/>
          <w:color w:val="0070C0"/>
        </w:rPr>
      </w:pPr>
      <w:r w:rsidRPr="008709CF">
        <w:rPr>
          <w:b/>
          <w:color w:val="0070C0"/>
        </w:rPr>
        <w:t>MERILA IN KRITERIJI OCENJEVANJA ZNANJA</w:t>
      </w:r>
    </w:p>
    <w:p w:rsidR="00CA7031" w:rsidRPr="008709CF" w:rsidRDefault="00CA7031" w:rsidP="00CA7031">
      <w:pPr>
        <w:jc w:val="center"/>
        <w:rPr>
          <w:b/>
          <w:color w:val="0070C0"/>
        </w:rPr>
      </w:pPr>
      <w:r w:rsidRPr="008709CF">
        <w:rPr>
          <w:b/>
          <w:color w:val="0070C0"/>
        </w:rPr>
        <w:t>za š. l. 2025/26</w:t>
      </w:r>
    </w:p>
    <w:p w:rsidR="00CA7031" w:rsidRDefault="00CA7031" w:rsidP="00CA7031">
      <w:pPr>
        <w:rPr>
          <w:b/>
          <w:i/>
          <w:color w:val="FF0000"/>
          <w:sz w:val="28"/>
          <w:szCs w:val="28"/>
          <w:u w:val="single"/>
        </w:rPr>
      </w:pPr>
    </w:p>
    <w:p w:rsidR="00364480" w:rsidRDefault="00364480" w:rsidP="00CA7031">
      <w:pPr>
        <w:pBdr>
          <w:top w:val="nil"/>
          <w:left w:val="nil"/>
          <w:bottom w:val="nil"/>
          <w:right w:val="nil"/>
          <w:between w:val="nil"/>
        </w:pBdr>
        <w:tabs>
          <w:tab w:val="center" w:pos="4536"/>
          <w:tab w:val="right" w:pos="9072"/>
        </w:tabs>
        <w:jc w:val="both"/>
        <w:rPr>
          <w:b/>
          <w:color w:val="000000"/>
          <w:sz w:val="28"/>
          <w:szCs w:val="28"/>
          <w:u w:val="single"/>
        </w:rPr>
      </w:pPr>
      <w:r w:rsidRPr="00364480">
        <w:rPr>
          <w:b/>
          <w:color w:val="000000"/>
          <w:sz w:val="28"/>
          <w:szCs w:val="28"/>
          <w:u w:val="single"/>
        </w:rPr>
        <w:t xml:space="preserve">1. </w:t>
      </w:r>
      <w:r w:rsidR="00CA7031" w:rsidRPr="00364480">
        <w:rPr>
          <w:b/>
          <w:color w:val="000000"/>
          <w:sz w:val="28"/>
          <w:szCs w:val="28"/>
          <w:u w:val="single"/>
        </w:rPr>
        <w:t>Pisno</w:t>
      </w:r>
      <w:r w:rsidR="00CA7031" w:rsidRPr="00364480">
        <w:rPr>
          <w:color w:val="000000"/>
          <w:sz w:val="28"/>
          <w:szCs w:val="28"/>
          <w:u w:val="single"/>
        </w:rPr>
        <w:t xml:space="preserve"> </w:t>
      </w:r>
      <w:r w:rsidR="00CA7031" w:rsidRPr="00364480">
        <w:rPr>
          <w:b/>
          <w:color w:val="000000"/>
          <w:sz w:val="28"/>
          <w:szCs w:val="28"/>
          <w:u w:val="single"/>
        </w:rPr>
        <w:t>ocenjevanje</w:t>
      </w:r>
    </w:p>
    <w:p w:rsidR="008709CF" w:rsidRDefault="008709CF" w:rsidP="00CA7031">
      <w:pPr>
        <w:pBdr>
          <w:top w:val="nil"/>
          <w:left w:val="nil"/>
          <w:bottom w:val="nil"/>
          <w:right w:val="nil"/>
          <w:between w:val="nil"/>
        </w:pBdr>
        <w:tabs>
          <w:tab w:val="center" w:pos="4536"/>
          <w:tab w:val="right" w:pos="9072"/>
        </w:tabs>
        <w:jc w:val="both"/>
        <w:rPr>
          <w:b/>
          <w:color w:val="000000"/>
          <w:sz w:val="28"/>
          <w:szCs w:val="28"/>
          <w:u w:val="single"/>
        </w:rPr>
      </w:pPr>
    </w:p>
    <w:tbl>
      <w:tblPr>
        <w:tblW w:w="10050" w:type="dxa"/>
        <w:jc w:val="center"/>
        <w:tblBorders>
          <w:top w:val="single" w:sz="12" w:space="0" w:color="9BBB59"/>
          <w:left w:val="single" w:sz="12" w:space="0" w:color="9BBB59"/>
          <w:bottom w:val="single" w:sz="12" w:space="0" w:color="9BBB59"/>
          <w:right w:val="single" w:sz="12" w:space="0" w:color="9BBB59"/>
          <w:insideH w:val="single" w:sz="12" w:space="0" w:color="9BBB59"/>
          <w:insideV w:val="single" w:sz="12" w:space="0" w:color="9BBB59"/>
        </w:tblBorders>
        <w:tblLayout w:type="fixed"/>
        <w:tblLook w:val="0400" w:firstRow="0" w:lastRow="0" w:firstColumn="0" w:lastColumn="0" w:noHBand="0" w:noVBand="1"/>
      </w:tblPr>
      <w:tblGrid>
        <w:gridCol w:w="2517"/>
        <w:gridCol w:w="1012"/>
        <w:gridCol w:w="6521"/>
      </w:tblGrid>
      <w:tr w:rsidR="00364480" w:rsidTr="008709CF">
        <w:trPr>
          <w:trHeight w:val="267"/>
          <w:jc w:val="center"/>
        </w:trPr>
        <w:tc>
          <w:tcPr>
            <w:tcW w:w="2517" w:type="dxa"/>
            <w:tcBorders>
              <w:bottom w:val="single" w:sz="8" w:space="0" w:color="9BBB59"/>
            </w:tcBorders>
            <w:shd w:val="clear" w:color="auto" w:fill="9BBB59"/>
          </w:tcPr>
          <w:p w:rsidR="00364480" w:rsidRDefault="00364480" w:rsidP="003F3215">
            <w:pPr>
              <w:rPr>
                <w:b/>
              </w:rPr>
            </w:pPr>
            <w:r>
              <w:rPr>
                <w:b/>
              </w:rPr>
              <w:t>Predmet/modul/</w:t>
            </w:r>
          </w:p>
          <w:p w:rsidR="00364480" w:rsidRDefault="00364480" w:rsidP="003F3215">
            <w:pPr>
              <w:spacing w:line="276" w:lineRule="auto"/>
            </w:pPr>
            <w:r>
              <w:rPr>
                <w:b/>
              </w:rPr>
              <w:t>vsebinski sklop</w:t>
            </w:r>
          </w:p>
        </w:tc>
        <w:tc>
          <w:tcPr>
            <w:tcW w:w="1012" w:type="dxa"/>
            <w:tcBorders>
              <w:bottom w:val="single" w:sz="8" w:space="0" w:color="9BBB59"/>
            </w:tcBorders>
            <w:shd w:val="clear" w:color="auto" w:fill="9BBB59"/>
          </w:tcPr>
          <w:p w:rsidR="00364480" w:rsidRDefault="00364480" w:rsidP="003F3215">
            <w:pPr>
              <w:spacing w:line="276" w:lineRule="auto"/>
              <w:rPr>
                <w:sz w:val="18"/>
                <w:szCs w:val="18"/>
              </w:rPr>
            </w:pPr>
            <w:r>
              <w:rPr>
                <w:b/>
              </w:rPr>
              <w:t>Program</w:t>
            </w:r>
          </w:p>
        </w:tc>
        <w:tc>
          <w:tcPr>
            <w:tcW w:w="6521" w:type="dxa"/>
            <w:tcBorders>
              <w:bottom w:val="single" w:sz="8" w:space="0" w:color="9BBB59"/>
            </w:tcBorders>
            <w:shd w:val="clear" w:color="auto" w:fill="9BBB59"/>
          </w:tcPr>
          <w:p w:rsidR="00364480" w:rsidRDefault="00364480" w:rsidP="003F3215">
            <w:pPr>
              <w:spacing w:line="276" w:lineRule="auto"/>
              <w:ind w:left="10"/>
              <w:rPr>
                <w:sz w:val="18"/>
                <w:szCs w:val="18"/>
              </w:rPr>
            </w:pPr>
            <w:r>
              <w:rPr>
                <w:b/>
              </w:rPr>
              <w:t>Načini ocenjevanja (pisno, ustno, program, dnevnik, vaje, seminarska naloga)</w:t>
            </w:r>
          </w:p>
        </w:tc>
      </w:tr>
      <w:tr w:rsidR="00364480" w:rsidTr="008709CF">
        <w:trPr>
          <w:trHeight w:val="267"/>
          <w:jc w:val="center"/>
        </w:trPr>
        <w:tc>
          <w:tcPr>
            <w:tcW w:w="2517" w:type="dxa"/>
          </w:tcPr>
          <w:p w:rsidR="00364480" w:rsidRDefault="00364480" w:rsidP="003F3215">
            <w:pPr>
              <w:pBdr>
                <w:top w:val="nil"/>
                <w:left w:val="nil"/>
                <w:bottom w:val="nil"/>
                <w:right w:val="nil"/>
                <w:between w:val="nil"/>
              </w:pBdr>
              <w:rPr>
                <w:color w:val="000000"/>
                <w:sz w:val="22"/>
                <w:szCs w:val="22"/>
              </w:rPr>
            </w:pPr>
            <w:r>
              <w:rPr>
                <w:b/>
                <w:color w:val="000000"/>
                <w:sz w:val="22"/>
                <w:szCs w:val="22"/>
              </w:rPr>
              <w:t>GIMNAZIJA</w:t>
            </w:r>
          </w:p>
        </w:tc>
        <w:tc>
          <w:tcPr>
            <w:tcW w:w="1012" w:type="dxa"/>
          </w:tcPr>
          <w:p w:rsidR="00364480" w:rsidRDefault="00364480" w:rsidP="003F3215">
            <w:pPr>
              <w:spacing w:line="276" w:lineRule="auto"/>
              <w:rPr>
                <w:sz w:val="18"/>
                <w:szCs w:val="18"/>
              </w:rPr>
            </w:pPr>
          </w:p>
        </w:tc>
        <w:tc>
          <w:tcPr>
            <w:tcW w:w="6521" w:type="dxa"/>
          </w:tcPr>
          <w:p w:rsidR="00364480" w:rsidRDefault="00364480" w:rsidP="003F3215">
            <w:pPr>
              <w:pBdr>
                <w:top w:val="nil"/>
                <w:left w:val="nil"/>
                <w:bottom w:val="nil"/>
                <w:right w:val="nil"/>
                <w:between w:val="nil"/>
              </w:pBdr>
              <w:rPr>
                <w:color w:val="000000"/>
                <w:sz w:val="22"/>
                <w:szCs w:val="22"/>
              </w:rPr>
            </w:pPr>
            <w:r>
              <w:rPr>
                <w:color w:val="000000"/>
                <w:sz w:val="22"/>
                <w:szCs w:val="22"/>
              </w:rPr>
              <w:t>Od 1. do 4. letnika:</w:t>
            </w:r>
          </w:p>
          <w:p w:rsidR="00364480" w:rsidRDefault="00364480" w:rsidP="003F3215">
            <w:pPr>
              <w:spacing w:line="276" w:lineRule="auto"/>
              <w:ind w:left="10"/>
              <w:rPr>
                <w:sz w:val="18"/>
                <w:szCs w:val="18"/>
              </w:rPr>
            </w:pPr>
            <w:r>
              <w:rPr>
                <w:color w:val="000000"/>
                <w:sz w:val="22"/>
                <w:szCs w:val="22"/>
              </w:rPr>
              <w:t>Pisno, ustno (najmanj ena ustna ocena na konferenco in najmanj dve pisni oceni na konferenco – šolska naloga, test), domače branje.</w:t>
            </w:r>
          </w:p>
        </w:tc>
      </w:tr>
      <w:tr w:rsidR="00364480" w:rsidTr="008709CF">
        <w:trPr>
          <w:trHeight w:val="267"/>
          <w:jc w:val="center"/>
        </w:trPr>
        <w:tc>
          <w:tcPr>
            <w:tcW w:w="2517" w:type="dxa"/>
          </w:tcPr>
          <w:p w:rsidR="00364480" w:rsidRDefault="00364480" w:rsidP="003F3215">
            <w:pPr>
              <w:pBdr>
                <w:top w:val="nil"/>
                <w:left w:val="nil"/>
                <w:bottom w:val="nil"/>
                <w:right w:val="nil"/>
                <w:between w:val="nil"/>
              </w:pBdr>
              <w:rPr>
                <w:color w:val="000000"/>
                <w:sz w:val="22"/>
                <w:szCs w:val="22"/>
              </w:rPr>
            </w:pPr>
            <w:r>
              <w:rPr>
                <w:b/>
                <w:color w:val="000000"/>
                <w:sz w:val="22"/>
                <w:szCs w:val="22"/>
              </w:rPr>
              <w:t>SKRAJŠAN PROGRAM</w:t>
            </w:r>
          </w:p>
        </w:tc>
        <w:tc>
          <w:tcPr>
            <w:tcW w:w="1012" w:type="dxa"/>
          </w:tcPr>
          <w:p w:rsidR="00364480" w:rsidRDefault="00364480" w:rsidP="003F3215">
            <w:pPr>
              <w:spacing w:line="276" w:lineRule="auto"/>
              <w:rPr>
                <w:b/>
                <w:sz w:val="22"/>
                <w:szCs w:val="22"/>
              </w:rPr>
            </w:pPr>
            <w:bookmarkStart w:id="0" w:name="_heading=h.135i9sahofeg" w:colFirst="0" w:colLast="0"/>
            <w:bookmarkEnd w:id="0"/>
            <w:r>
              <w:rPr>
                <w:b/>
                <w:sz w:val="22"/>
                <w:szCs w:val="22"/>
              </w:rPr>
              <w:t>NPI</w:t>
            </w:r>
          </w:p>
        </w:tc>
        <w:tc>
          <w:tcPr>
            <w:tcW w:w="6521" w:type="dxa"/>
          </w:tcPr>
          <w:p w:rsidR="00364480" w:rsidRDefault="00364480" w:rsidP="003F3215">
            <w:pPr>
              <w:pBdr>
                <w:top w:val="nil"/>
                <w:left w:val="nil"/>
                <w:bottom w:val="nil"/>
                <w:right w:val="nil"/>
                <w:between w:val="nil"/>
              </w:pBdr>
              <w:rPr>
                <w:color w:val="000000"/>
                <w:sz w:val="22"/>
                <w:szCs w:val="22"/>
              </w:rPr>
            </w:pPr>
            <w:r>
              <w:rPr>
                <w:color w:val="000000"/>
                <w:sz w:val="22"/>
                <w:szCs w:val="22"/>
              </w:rPr>
              <w:t>1. in 2. letnik:</w:t>
            </w:r>
          </w:p>
          <w:p w:rsidR="00364480" w:rsidRDefault="00364480" w:rsidP="003F3215">
            <w:pPr>
              <w:tabs>
                <w:tab w:val="left" w:pos="940"/>
              </w:tabs>
              <w:spacing w:line="276" w:lineRule="auto"/>
              <w:rPr>
                <w:sz w:val="18"/>
                <w:szCs w:val="18"/>
              </w:rPr>
            </w:pPr>
            <w:r>
              <w:rPr>
                <w:color w:val="000000"/>
                <w:sz w:val="22"/>
                <w:szCs w:val="22"/>
              </w:rPr>
              <w:t>Pisno, ustno (najmanj ena pisna in ena ustna ocena na konferenco, eno domače branje v šolskem letu).</w:t>
            </w:r>
          </w:p>
        </w:tc>
      </w:tr>
      <w:tr w:rsidR="00364480" w:rsidTr="008709CF">
        <w:trPr>
          <w:trHeight w:val="267"/>
          <w:jc w:val="center"/>
        </w:trPr>
        <w:tc>
          <w:tcPr>
            <w:tcW w:w="2517" w:type="dxa"/>
          </w:tcPr>
          <w:p w:rsidR="00364480" w:rsidRDefault="00364480" w:rsidP="003F3215">
            <w:pPr>
              <w:pBdr>
                <w:top w:val="nil"/>
                <w:left w:val="nil"/>
                <w:bottom w:val="nil"/>
                <w:right w:val="nil"/>
                <w:between w:val="nil"/>
              </w:pBdr>
              <w:rPr>
                <w:color w:val="000000"/>
                <w:sz w:val="22"/>
                <w:szCs w:val="22"/>
              </w:rPr>
            </w:pPr>
            <w:r>
              <w:rPr>
                <w:b/>
                <w:color w:val="000000"/>
                <w:sz w:val="22"/>
                <w:szCs w:val="22"/>
              </w:rPr>
              <w:t xml:space="preserve">STROJNI TEHNIK </w:t>
            </w:r>
          </w:p>
        </w:tc>
        <w:tc>
          <w:tcPr>
            <w:tcW w:w="1012" w:type="dxa"/>
          </w:tcPr>
          <w:p w:rsidR="00364480" w:rsidRDefault="00364480" w:rsidP="003F3215">
            <w:pPr>
              <w:spacing w:line="276" w:lineRule="auto"/>
              <w:rPr>
                <w:sz w:val="18"/>
                <w:szCs w:val="18"/>
              </w:rPr>
            </w:pPr>
            <w:r>
              <w:rPr>
                <w:b/>
                <w:color w:val="000000"/>
                <w:sz w:val="22"/>
                <w:szCs w:val="22"/>
              </w:rPr>
              <w:t>SSI</w:t>
            </w:r>
          </w:p>
        </w:tc>
        <w:tc>
          <w:tcPr>
            <w:tcW w:w="6521" w:type="dxa"/>
          </w:tcPr>
          <w:p w:rsidR="00364480" w:rsidRDefault="00364480" w:rsidP="003F3215">
            <w:pPr>
              <w:pBdr>
                <w:top w:val="nil"/>
                <w:left w:val="nil"/>
                <w:bottom w:val="nil"/>
                <w:right w:val="nil"/>
                <w:between w:val="nil"/>
              </w:pBdr>
              <w:rPr>
                <w:color w:val="000000"/>
                <w:sz w:val="22"/>
                <w:szCs w:val="22"/>
              </w:rPr>
            </w:pPr>
            <w:r>
              <w:rPr>
                <w:color w:val="000000"/>
                <w:sz w:val="22"/>
                <w:szCs w:val="22"/>
              </w:rPr>
              <w:t>Od 1. do 4. letnika:</w:t>
            </w:r>
          </w:p>
          <w:p w:rsidR="00364480" w:rsidRDefault="00364480" w:rsidP="003F3215">
            <w:pPr>
              <w:spacing w:line="276" w:lineRule="auto"/>
              <w:rPr>
                <w:sz w:val="18"/>
                <w:szCs w:val="18"/>
              </w:rPr>
            </w:pPr>
            <w:r>
              <w:rPr>
                <w:color w:val="000000"/>
                <w:sz w:val="22"/>
                <w:szCs w:val="22"/>
              </w:rPr>
              <w:t>Pisno, ustno (najmanj ena ustna ocena na konferenco in najmanj dve pisni oceni na konferenco – šolska naloga, test), domače branje.</w:t>
            </w:r>
          </w:p>
        </w:tc>
      </w:tr>
      <w:tr w:rsidR="00364480" w:rsidTr="008709CF">
        <w:trPr>
          <w:trHeight w:val="267"/>
          <w:jc w:val="center"/>
        </w:trPr>
        <w:tc>
          <w:tcPr>
            <w:tcW w:w="2517" w:type="dxa"/>
          </w:tcPr>
          <w:p w:rsidR="00364480" w:rsidRDefault="00364480" w:rsidP="003F3215">
            <w:pPr>
              <w:pBdr>
                <w:top w:val="nil"/>
                <w:left w:val="nil"/>
                <w:bottom w:val="nil"/>
                <w:right w:val="nil"/>
                <w:between w:val="nil"/>
              </w:pBdr>
              <w:rPr>
                <w:color w:val="000000"/>
                <w:sz w:val="22"/>
                <w:szCs w:val="22"/>
              </w:rPr>
            </w:pPr>
            <w:r>
              <w:rPr>
                <w:b/>
                <w:color w:val="000000"/>
                <w:sz w:val="22"/>
                <w:szCs w:val="22"/>
              </w:rPr>
              <w:t xml:space="preserve">STROJNI TEHNIK </w:t>
            </w:r>
          </w:p>
        </w:tc>
        <w:tc>
          <w:tcPr>
            <w:tcW w:w="1012" w:type="dxa"/>
          </w:tcPr>
          <w:p w:rsidR="00364480" w:rsidRDefault="00364480" w:rsidP="003F3215">
            <w:pPr>
              <w:spacing w:line="276" w:lineRule="auto"/>
              <w:rPr>
                <w:sz w:val="18"/>
                <w:szCs w:val="18"/>
              </w:rPr>
            </w:pPr>
            <w:r>
              <w:rPr>
                <w:b/>
                <w:color w:val="000000"/>
                <w:sz w:val="22"/>
                <w:szCs w:val="22"/>
              </w:rPr>
              <w:t>PTI</w:t>
            </w:r>
          </w:p>
        </w:tc>
        <w:tc>
          <w:tcPr>
            <w:tcW w:w="6521" w:type="dxa"/>
          </w:tcPr>
          <w:p w:rsidR="00364480" w:rsidRDefault="00364480" w:rsidP="003F3215">
            <w:pPr>
              <w:pBdr>
                <w:top w:val="nil"/>
                <w:left w:val="nil"/>
                <w:bottom w:val="nil"/>
                <w:right w:val="nil"/>
                <w:between w:val="nil"/>
              </w:pBdr>
              <w:rPr>
                <w:color w:val="000000"/>
                <w:sz w:val="22"/>
                <w:szCs w:val="22"/>
              </w:rPr>
            </w:pPr>
            <w:r>
              <w:rPr>
                <w:color w:val="000000"/>
                <w:sz w:val="22"/>
                <w:szCs w:val="22"/>
              </w:rPr>
              <w:t>4. in 5. letnik:</w:t>
            </w:r>
          </w:p>
          <w:p w:rsidR="00364480" w:rsidRDefault="00364480" w:rsidP="003F3215">
            <w:pPr>
              <w:spacing w:line="276" w:lineRule="auto"/>
              <w:rPr>
                <w:sz w:val="18"/>
                <w:szCs w:val="18"/>
              </w:rPr>
            </w:pPr>
            <w:r>
              <w:rPr>
                <w:color w:val="000000"/>
                <w:sz w:val="22"/>
                <w:szCs w:val="22"/>
              </w:rPr>
              <w:t>Pisno, ustno (najmanj ena ustna ocena v šolskem letu in najmanj dve pisni oceni na konferenco – šolska naloga, test), domače branje.</w:t>
            </w:r>
          </w:p>
        </w:tc>
      </w:tr>
      <w:tr w:rsidR="00364480" w:rsidTr="008709CF">
        <w:trPr>
          <w:trHeight w:val="267"/>
          <w:jc w:val="center"/>
        </w:trPr>
        <w:tc>
          <w:tcPr>
            <w:tcW w:w="2517" w:type="dxa"/>
          </w:tcPr>
          <w:p w:rsidR="00364480" w:rsidRDefault="00364480" w:rsidP="003F3215">
            <w:pPr>
              <w:pBdr>
                <w:top w:val="nil"/>
                <w:left w:val="nil"/>
                <w:bottom w:val="nil"/>
                <w:right w:val="nil"/>
                <w:between w:val="nil"/>
              </w:pBdr>
              <w:rPr>
                <w:color w:val="000000"/>
                <w:sz w:val="22"/>
                <w:szCs w:val="22"/>
              </w:rPr>
            </w:pPr>
            <w:r>
              <w:rPr>
                <w:b/>
                <w:color w:val="000000"/>
                <w:sz w:val="22"/>
                <w:szCs w:val="22"/>
              </w:rPr>
              <w:t xml:space="preserve">POKLICNI PROGRAM  </w:t>
            </w:r>
          </w:p>
        </w:tc>
        <w:tc>
          <w:tcPr>
            <w:tcW w:w="1012" w:type="dxa"/>
          </w:tcPr>
          <w:p w:rsidR="00364480" w:rsidRDefault="00364480" w:rsidP="003F3215">
            <w:pPr>
              <w:spacing w:line="276" w:lineRule="auto"/>
              <w:rPr>
                <w:sz w:val="18"/>
                <w:szCs w:val="18"/>
              </w:rPr>
            </w:pPr>
            <w:r>
              <w:rPr>
                <w:b/>
                <w:color w:val="000000"/>
                <w:sz w:val="22"/>
                <w:szCs w:val="22"/>
              </w:rPr>
              <w:t>SPI</w:t>
            </w:r>
          </w:p>
        </w:tc>
        <w:tc>
          <w:tcPr>
            <w:tcW w:w="6521" w:type="dxa"/>
          </w:tcPr>
          <w:p w:rsidR="00364480" w:rsidRDefault="00364480" w:rsidP="003F3215">
            <w:pPr>
              <w:pBdr>
                <w:top w:val="nil"/>
                <w:left w:val="nil"/>
                <w:bottom w:val="nil"/>
                <w:right w:val="nil"/>
                <w:between w:val="nil"/>
              </w:pBdr>
              <w:rPr>
                <w:color w:val="000000"/>
                <w:sz w:val="22"/>
                <w:szCs w:val="22"/>
              </w:rPr>
            </w:pPr>
            <w:r>
              <w:rPr>
                <w:color w:val="000000"/>
                <w:sz w:val="22"/>
                <w:szCs w:val="22"/>
              </w:rPr>
              <w:t>Od 1. do 3. letnika:</w:t>
            </w:r>
          </w:p>
          <w:p w:rsidR="00364480" w:rsidRDefault="00364480" w:rsidP="003F3215">
            <w:pPr>
              <w:spacing w:line="276" w:lineRule="auto"/>
              <w:rPr>
                <w:sz w:val="18"/>
                <w:szCs w:val="18"/>
              </w:rPr>
            </w:pPr>
            <w:r>
              <w:rPr>
                <w:color w:val="000000"/>
                <w:sz w:val="22"/>
                <w:szCs w:val="22"/>
              </w:rPr>
              <w:t>Pisno, ustno (najmanj ena ustna ocena v šolskem letu in najmanj ena pisna ocena v konferenci – šolska naloga ali test, domače branje).</w:t>
            </w:r>
          </w:p>
        </w:tc>
      </w:tr>
    </w:tbl>
    <w:p w:rsidR="00364480" w:rsidRPr="00364480" w:rsidRDefault="00364480" w:rsidP="00CA7031">
      <w:pPr>
        <w:pBdr>
          <w:top w:val="nil"/>
          <w:left w:val="nil"/>
          <w:bottom w:val="nil"/>
          <w:right w:val="nil"/>
          <w:between w:val="nil"/>
        </w:pBdr>
        <w:tabs>
          <w:tab w:val="center" w:pos="4536"/>
          <w:tab w:val="right" w:pos="9072"/>
        </w:tabs>
        <w:jc w:val="both"/>
        <w:rPr>
          <w:b/>
          <w:color w:val="000000"/>
          <w:sz w:val="28"/>
          <w:szCs w:val="28"/>
          <w:u w:val="single"/>
        </w:rPr>
      </w:pPr>
    </w:p>
    <w:p w:rsidR="00CA7031" w:rsidRDefault="00364480" w:rsidP="00CA7031">
      <w:pPr>
        <w:pBdr>
          <w:top w:val="nil"/>
          <w:left w:val="nil"/>
          <w:bottom w:val="nil"/>
          <w:right w:val="nil"/>
          <w:between w:val="nil"/>
        </w:pBdr>
        <w:tabs>
          <w:tab w:val="center" w:pos="4536"/>
          <w:tab w:val="right" w:pos="9072"/>
        </w:tabs>
        <w:jc w:val="both"/>
        <w:rPr>
          <w:color w:val="000000"/>
        </w:rPr>
      </w:pPr>
      <w:r>
        <w:rPr>
          <w:color w:val="000000"/>
        </w:rPr>
        <w:t>M</w:t>
      </w:r>
      <w:r w:rsidR="00CA7031">
        <w:rPr>
          <w:color w:val="000000"/>
        </w:rPr>
        <w:t xml:space="preserve">inimalno število pisnih ocen je odvisno od programa (glej zgornjo tabelo). </w:t>
      </w:r>
    </w:p>
    <w:p w:rsidR="00CA7031" w:rsidRPr="008709CF" w:rsidRDefault="00CA7031" w:rsidP="00CA7031">
      <w:pPr>
        <w:pBdr>
          <w:top w:val="nil"/>
          <w:left w:val="nil"/>
          <w:bottom w:val="nil"/>
          <w:right w:val="nil"/>
          <w:between w:val="nil"/>
        </w:pBdr>
        <w:tabs>
          <w:tab w:val="center" w:pos="4536"/>
          <w:tab w:val="right" w:pos="9072"/>
        </w:tabs>
        <w:jc w:val="both"/>
        <w:rPr>
          <w:color w:val="000000"/>
          <w:sz w:val="16"/>
          <w:szCs w:val="16"/>
        </w:rPr>
      </w:pPr>
    </w:p>
    <w:p w:rsidR="00CA7031" w:rsidRDefault="00CA7031" w:rsidP="00CA7031">
      <w:pPr>
        <w:pBdr>
          <w:top w:val="nil"/>
          <w:left w:val="nil"/>
          <w:bottom w:val="nil"/>
          <w:right w:val="nil"/>
          <w:between w:val="nil"/>
        </w:pBdr>
        <w:tabs>
          <w:tab w:val="center" w:pos="4536"/>
          <w:tab w:val="right" w:pos="9072"/>
        </w:tabs>
        <w:jc w:val="both"/>
        <w:rPr>
          <w:color w:val="000000"/>
        </w:rPr>
      </w:pPr>
      <w:r>
        <w:rPr>
          <w:color w:val="000000"/>
        </w:rPr>
        <w:t xml:space="preserve">Pri </w:t>
      </w:r>
      <w:r>
        <w:rPr>
          <w:b/>
          <w:i/>
          <w:color w:val="000000"/>
        </w:rPr>
        <w:t>kontrolnih nalogah</w:t>
      </w:r>
      <w:r>
        <w:rPr>
          <w:color w:val="000000"/>
        </w:rPr>
        <w:t xml:space="preserve"> gre za sprotno in celovito preverjanje predelane snovi pri jezikovnem pouku ali pri pouku književnosti.</w:t>
      </w:r>
    </w:p>
    <w:p w:rsidR="00CA7031" w:rsidRPr="008709CF" w:rsidRDefault="00CA7031" w:rsidP="00CA7031">
      <w:pPr>
        <w:pBdr>
          <w:top w:val="nil"/>
          <w:left w:val="nil"/>
          <w:bottom w:val="nil"/>
          <w:right w:val="nil"/>
          <w:between w:val="nil"/>
        </w:pBdr>
        <w:tabs>
          <w:tab w:val="center" w:pos="4536"/>
          <w:tab w:val="right" w:pos="9072"/>
        </w:tabs>
        <w:jc w:val="both"/>
        <w:rPr>
          <w:color w:val="000000"/>
          <w:sz w:val="16"/>
          <w:szCs w:val="16"/>
        </w:rPr>
      </w:pPr>
    </w:p>
    <w:p w:rsidR="00CA7031" w:rsidRDefault="00CA7031" w:rsidP="00CA7031">
      <w:pPr>
        <w:pBdr>
          <w:top w:val="nil"/>
          <w:left w:val="nil"/>
          <w:bottom w:val="nil"/>
          <w:right w:val="nil"/>
          <w:between w:val="nil"/>
        </w:pBdr>
        <w:tabs>
          <w:tab w:val="center" w:pos="4536"/>
          <w:tab w:val="right" w:pos="9072"/>
        </w:tabs>
        <w:jc w:val="both"/>
        <w:rPr>
          <w:color w:val="000000"/>
        </w:rPr>
      </w:pPr>
      <w:r>
        <w:rPr>
          <w:color w:val="000000"/>
        </w:rPr>
        <w:t>Za pozitivno oceno morajo dijaki doseči 50 % točk, za zadostno oceno 50–64 %, za dobro 65–79 %, za prav dobro 80–89 %, za odlično 90–100 %. Seveda so možne prilagoditve kriterijev, če to pripomore k boljšemu uspehu – boljšim rezultatom. 50 % meja za pozitivno oceno velja za vse letnike in programe, saj je le-tem zahtevnost nalog vedno prilagojena.</w:t>
      </w:r>
    </w:p>
    <w:p w:rsidR="00CA7031" w:rsidRPr="008709CF" w:rsidRDefault="00CA7031" w:rsidP="00CA7031">
      <w:pPr>
        <w:pBdr>
          <w:top w:val="nil"/>
          <w:left w:val="nil"/>
          <w:bottom w:val="nil"/>
          <w:right w:val="nil"/>
          <w:between w:val="nil"/>
        </w:pBdr>
        <w:tabs>
          <w:tab w:val="center" w:pos="4536"/>
          <w:tab w:val="right" w:pos="9072"/>
        </w:tabs>
        <w:jc w:val="both"/>
        <w:rPr>
          <w:color w:val="000000"/>
          <w:sz w:val="16"/>
          <w:szCs w:val="16"/>
        </w:rPr>
      </w:pPr>
    </w:p>
    <w:p w:rsidR="00CA7031" w:rsidRDefault="00CA7031" w:rsidP="00CA7031">
      <w:pPr>
        <w:pBdr>
          <w:top w:val="nil"/>
          <w:left w:val="nil"/>
          <w:bottom w:val="nil"/>
          <w:right w:val="nil"/>
          <w:between w:val="nil"/>
        </w:pBdr>
        <w:jc w:val="both"/>
        <w:rPr>
          <w:color w:val="000000"/>
        </w:rPr>
      </w:pPr>
      <w:r>
        <w:rPr>
          <w:color w:val="000000"/>
        </w:rPr>
        <w:t xml:space="preserve">Pri  </w:t>
      </w:r>
      <w:r>
        <w:rPr>
          <w:b/>
          <w:i/>
          <w:color w:val="000000"/>
        </w:rPr>
        <w:t>šolskih nalogah</w:t>
      </w:r>
      <w:r>
        <w:rPr>
          <w:color w:val="000000"/>
        </w:rPr>
        <w:t xml:space="preserve"> pišejo dijaki spis na določen naslov (izbirajo med  naslovi, ki so prilagojeni letnikom in programom) ali razčlembo neumetnostnega besedila (dijaki poklicnega programa), dijaki tehniške gimnazije v 3. in 4. letniku pišejo pisno esejsko nalogo, dijaki programa strojni tehnik (tudi program PTI) pa tudi vodeni spis, saj se tako pripravljajo na maturo oz. poklicno maturo.</w:t>
      </w:r>
    </w:p>
    <w:p w:rsidR="00CA7031" w:rsidRPr="008709CF" w:rsidRDefault="00CA7031" w:rsidP="00CA7031">
      <w:pPr>
        <w:pBdr>
          <w:top w:val="nil"/>
          <w:left w:val="nil"/>
          <w:bottom w:val="nil"/>
          <w:right w:val="nil"/>
          <w:between w:val="nil"/>
        </w:pBdr>
        <w:jc w:val="both"/>
        <w:rPr>
          <w:color w:val="000000"/>
          <w:sz w:val="16"/>
          <w:szCs w:val="16"/>
          <w:u w:val="single"/>
        </w:rPr>
      </w:pPr>
    </w:p>
    <w:p w:rsidR="00CA7031" w:rsidRPr="008709CF" w:rsidRDefault="00CA7031" w:rsidP="00CA7031">
      <w:pPr>
        <w:pBdr>
          <w:top w:val="nil"/>
          <w:left w:val="nil"/>
          <w:bottom w:val="nil"/>
          <w:right w:val="nil"/>
          <w:between w:val="nil"/>
        </w:pBdr>
        <w:tabs>
          <w:tab w:val="center" w:pos="4536"/>
          <w:tab w:val="right" w:pos="9072"/>
        </w:tabs>
        <w:jc w:val="both"/>
        <w:rPr>
          <w:color w:val="000000"/>
        </w:rPr>
      </w:pPr>
      <w:r>
        <w:rPr>
          <w:color w:val="000000"/>
        </w:rPr>
        <w:t>Pri spisih in esejih ocenjujemo ustvarjalno pisanje, jezikovno pravilnost, upoštevanje slovničnih pravil, upoštevanje pravopisnih pravil, upoštevanje načel praktične stilistike, izbiro besedišča in jezikovnih sredstev. Dijak je ocenjen s številčno oceno, lahko pa je dodano ustno vrednotenje.</w:t>
      </w:r>
    </w:p>
    <w:p w:rsidR="00CA7031" w:rsidRDefault="00CA7031" w:rsidP="00CA7031">
      <w:pPr>
        <w:pBdr>
          <w:top w:val="nil"/>
          <w:left w:val="nil"/>
          <w:bottom w:val="nil"/>
          <w:right w:val="nil"/>
          <w:between w:val="nil"/>
        </w:pBdr>
        <w:tabs>
          <w:tab w:val="center" w:pos="4536"/>
          <w:tab w:val="right" w:pos="9072"/>
        </w:tabs>
        <w:jc w:val="both"/>
        <w:rPr>
          <w:color w:val="000000"/>
        </w:rPr>
      </w:pPr>
      <w:r>
        <w:rPr>
          <w:color w:val="000000"/>
        </w:rPr>
        <w:lastRenderedPageBreak/>
        <w:t>Za pozitivno oceno morajo dijaki doseči 50 % točk, za zadostno oceno 50–64 %, za dobro 65–79 %, za prav dobro 80–89 %, za odlično 90–100 %. Seveda so možne prilagoditve kriterijev, če to pripomore k boljšemu uspehu – boljšim rezultatom. 50 % meja za pozitivno oceno velja za vse letnike in programe.</w:t>
      </w:r>
    </w:p>
    <w:p w:rsidR="00CA7031" w:rsidRDefault="00CA7031" w:rsidP="00CA7031">
      <w:pPr>
        <w:pBdr>
          <w:top w:val="nil"/>
          <w:left w:val="nil"/>
          <w:bottom w:val="nil"/>
          <w:right w:val="nil"/>
          <w:between w:val="nil"/>
        </w:pBdr>
        <w:tabs>
          <w:tab w:val="center" w:pos="4536"/>
          <w:tab w:val="right" w:pos="9072"/>
        </w:tabs>
        <w:jc w:val="both"/>
        <w:rPr>
          <w:color w:val="000000"/>
        </w:rPr>
      </w:pPr>
    </w:p>
    <w:p w:rsidR="00CA7031" w:rsidRDefault="00CA7031" w:rsidP="00CA7031">
      <w:pPr>
        <w:pBdr>
          <w:top w:val="nil"/>
          <w:left w:val="nil"/>
          <w:bottom w:val="nil"/>
          <w:right w:val="nil"/>
          <w:between w:val="nil"/>
        </w:pBdr>
        <w:tabs>
          <w:tab w:val="center" w:pos="4536"/>
          <w:tab w:val="right" w:pos="9072"/>
        </w:tabs>
        <w:jc w:val="both"/>
        <w:rPr>
          <w:b/>
          <w:color w:val="000000"/>
        </w:rPr>
      </w:pPr>
    </w:p>
    <w:p w:rsidR="00364480" w:rsidRPr="00364480" w:rsidRDefault="00364480" w:rsidP="00CA7031">
      <w:pPr>
        <w:pBdr>
          <w:top w:val="nil"/>
          <w:left w:val="nil"/>
          <w:bottom w:val="nil"/>
          <w:right w:val="nil"/>
          <w:between w:val="nil"/>
        </w:pBdr>
        <w:tabs>
          <w:tab w:val="center" w:pos="4536"/>
          <w:tab w:val="right" w:pos="9072"/>
        </w:tabs>
        <w:jc w:val="both"/>
        <w:rPr>
          <w:b/>
          <w:color w:val="000000"/>
          <w:sz w:val="28"/>
          <w:szCs w:val="28"/>
          <w:u w:val="single"/>
        </w:rPr>
      </w:pPr>
      <w:r w:rsidRPr="00364480">
        <w:rPr>
          <w:b/>
          <w:color w:val="000000"/>
          <w:sz w:val="28"/>
          <w:szCs w:val="28"/>
          <w:u w:val="single"/>
        </w:rPr>
        <w:t xml:space="preserve">2. </w:t>
      </w:r>
      <w:r w:rsidR="00CA7031" w:rsidRPr="00364480">
        <w:rPr>
          <w:b/>
          <w:color w:val="000000"/>
          <w:sz w:val="28"/>
          <w:szCs w:val="28"/>
          <w:u w:val="single"/>
        </w:rPr>
        <w:t>Ustno ocenjevanje</w:t>
      </w:r>
    </w:p>
    <w:p w:rsidR="00364480" w:rsidRDefault="00364480" w:rsidP="00CA7031">
      <w:pPr>
        <w:pBdr>
          <w:top w:val="nil"/>
          <w:left w:val="nil"/>
          <w:bottom w:val="nil"/>
          <w:right w:val="nil"/>
          <w:between w:val="nil"/>
        </w:pBdr>
        <w:tabs>
          <w:tab w:val="center" w:pos="4536"/>
          <w:tab w:val="right" w:pos="9072"/>
        </w:tabs>
        <w:jc w:val="both"/>
        <w:rPr>
          <w:b/>
          <w:color w:val="000000"/>
        </w:rPr>
      </w:pPr>
    </w:p>
    <w:p w:rsidR="00CA7031" w:rsidRDefault="00364480" w:rsidP="00CA7031">
      <w:pPr>
        <w:pBdr>
          <w:top w:val="nil"/>
          <w:left w:val="nil"/>
          <w:bottom w:val="nil"/>
          <w:right w:val="nil"/>
          <w:between w:val="nil"/>
        </w:pBdr>
        <w:tabs>
          <w:tab w:val="center" w:pos="4536"/>
          <w:tab w:val="right" w:pos="9072"/>
        </w:tabs>
        <w:jc w:val="both"/>
        <w:rPr>
          <w:color w:val="000000"/>
        </w:rPr>
      </w:pPr>
      <w:r>
        <w:rPr>
          <w:color w:val="000000"/>
        </w:rPr>
        <w:t>M</w:t>
      </w:r>
      <w:r w:rsidR="00CA7031" w:rsidRPr="00E554CA">
        <w:rPr>
          <w:color w:val="000000"/>
        </w:rPr>
        <w:t>inimalno</w:t>
      </w:r>
      <w:r w:rsidR="00CA7031">
        <w:rPr>
          <w:b/>
          <w:color w:val="000000"/>
        </w:rPr>
        <w:t xml:space="preserve"> </w:t>
      </w:r>
      <w:r w:rsidR="00CA7031">
        <w:rPr>
          <w:color w:val="000000"/>
        </w:rPr>
        <w:t xml:space="preserve">število ustnih ocen je odvisno od programa (glej zgornjo tabelo). </w:t>
      </w:r>
    </w:p>
    <w:p w:rsidR="008709CF" w:rsidRPr="008709CF" w:rsidRDefault="008709CF" w:rsidP="00CA7031">
      <w:pPr>
        <w:pBdr>
          <w:top w:val="nil"/>
          <w:left w:val="nil"/>
          <w:bottom w:val="nil"/>
          <w:right w:val="nil"/>
          <w:between w:val="nil"/>
        </w:pBdr>
        <w:tabs>
          <w:tab w:val="center" w:pos="4536"/>
          <w:tab w:val="right" w:pos="9072"/>
        </w:tabs>
        <w:jc w:val="both"/>
        <w:rPr>
          <w:color w:val="000000"/>
          <w:sz w:val="16"/>
          <w:szCs w:val="16"/>
        </w:rPr>
      </w:pPr>
    </w:p>
    <w:p w:rsidR="00CA7031" w:rsidRDefault="00CA7031" w:rsidP="00CA7031">
      <w:pPr>
        <w:pBdr>
          <w:top w:val="nil"/>
          <w:left w:val="nil"/>
          <w:bottom w:val="nil"/>
          <w:right w:val="nil"/>
          <w:between w:val="nil"/>
        </w:pBdr>
        <w:tabs>
          <w:tab w:val="center" w:pos="4536"/>
          <w:tab w:val="right" w:pos="9072"/>
        </w:tabs>
        <w:jc w:val="both"/>
        <w:rPr>
          <w:color w:val="000000"/>
        </w:rPr>
      </w:pPr>
      <w:r>
        <w:rPr>
          <w:color w:val="000000"/>
        </w:rPr>
        <w:t>Za pozitivno oceno morajo dijaki doseči 50 % točk, za zadostno oceno 50–64 %, za dobro 65–79 %, za prav dobro 80–89 %, za odlično 90–100 %. Seveda so možne prilagoditve kriterijev, če to pripomore k boljšemu uspehu – boljšim rezultatom. 50 % meja za pozitivno oceno velja za vse letnike in programe.</w:t>
      </w:r>
    </w:p>
    <w:p w:rsidR="00CA7031" w:rsidRDefault="00CA7031" w:rsidP="00CA7031">
      <w:pPr>
        <w:pBdr>
          <w:top w:val="nil"/>
          <w:left w:val="nil"/>
          <w:bottom w:val="nil"/>
          <w:right w:val="nil"/>
          <w:between w:val="nil"/>
        </w:pBdr>
        <w:tabs>
          <w:tab w:val="center" w:pos="4536"/>
          <w:tab w:val="right" w:pos="9072"/>
        </w:tabs>
        <w:jc w:val="both"/>
        <w:rPr>
          <w:color w:val="000000"/>
        </w:rPr>
      </w:pPr>
    </w:p>
    <w:p w:rsidR="00364480" w:rsidRDefault="00364480" w:rsidP="00CA7031">
      <w:pPr>
        <w:rPr>
          <w:b/>
          <w:i/>
          <w:u w:val="single"/>
        </w:rPr>
      </w:pPr>
    </w:p>
    <w:p w:rsidR="00CA7031" w:rsidRPr="00364480" w:rsidRDefault="00364480" w:rsidP="00CA7031">
      <w:pPr>
        <w:rPr>
          <w:b/>
          <w:sz w:val="28"/>
          <w:szCs w:val="28"/>
          <w:u w:val="single"/>
        </w:rPr>
      </w:pPr>
      <w:r w:rsidRPr="00364480">
        <w:rPr>
          <w:b/>
          <w:sz w:val="28"/>
          <w:szCs w:val="28"/>
          <w:u w:val="single"/>
        </w:rPr>
        <w:t xml:space="preserve">3. </w:t>
      </w:r>
      <w:r w:rsidR="00CA7031" w:rsidRPr="00364480">
        <w:rPr>
          <w:b/>
          <w:sz w:val="28"/>
          <w:szCs w:val="28"/>
          <w:u w:val="single"/>
        </w:rPr>
        <w:t>NOZ – načrt ocenjevanja znanja za vsako predmetno področje</w:t>
      </w:r>
    </w:p>
    <w:p w:rsidR="00CA7031" w:rsidRDefault="00CA7031" w:rsidP="00CA7031">
      <w:pPr>
        <w:rPr>
          <w:b/>
          <w:i/>
          <w:u w:val="single"/>
        </w:rPr>
      </w:pPr>
    </w:p>
    <w:p w:rsidR="00CA7031" w:rsidRDefault="00CA7031" w:rsidP="00CA7031">
      <w:pPr>
        <w:pBdr>
          <w:top w:val="nil"/>
          <w:left w:val="nil"/>
          <w:bottom w:val="nil"/>
          <w:right w:val="nil"/>
          <w:between w:val="nil"/>
        </w:pBdr>
        <w:tabs>
          <w:tab w:val="center" w:pos="4536"/>
          <w:tab w:val="right" w:pos="9072"/>
        </w:tabs>
        <w:jc w:val="both"/>
        <w:rPr>
          <w:color w:val="000000"/>
        </w:rPr>
      </w:pPr>
      <w:r>
        <w:rPr>
          <w:color w:val="000000"/>
        </w:rPr>
        <w:t>Pri slovenščini ocene v redovalnici niso enakovredne, zato smo razmerje med pisnim in ustnim ocenjevanjem določile in opredelile po različnih programih:</w:t>
      </w:r>
    </w:p>
    <w:p w:rsidR="00CA7031" w:rsidRPr="008709CF" w:rsidRDefault="00CA7031" w:rsidP="00CA7031">
      <w:pPr>
        <w:pBdr>
          <w:top w:val="nil"/>
          <w:left w:val="nil"/>
          <w:bottom w:val="nil"/>
          <w:right w:val="nil"/>
          <w:between w:val="nil"/>
        </w:pBdr>
        <w:tabs>
          <w:tab w:val="center" w:pos="4536"/>
          <w:tab w:val="right" w:pos="9072"/>
        </w:tabs>
        <w:jc w:val="both"/>
        <w:rPr>
          <w:color w:val="000000"/>
          <w:sz w:val="16"/>
          <w:szCs w:val="16"/>
        </w:rPr>
      </w:pPr>
    </w:p>
    <w:tbl>
      <w:tblPr>
        <w:tblStyle w:val="Tabelamrea"/>
        <w:tblW w:w="9288" w:type="dxa"/>
        <w:tblLayout w:type="fixed"/>
        <w:tblLook w:val="0000" w:firstRow="0" w:lastRow="0" w:firstColumn="0" w:lastColumn="0" w:noHBand="0" w:noVBand="0"/>
      </w:tblPr>
      <w:tblGrid>
        <w:gridCol w:w="3110"/>
        <w:gridCol w:w="3089"/>
        <w:gridCol w:w="3089"/>
      </w:tblGrid>
      <w:tr w:rsidR="00CA7031" w:rsidTr="003F3215">
        <w:tc>
          <w:tcPr>
            <w:tcW w:w="3110" w:type="dxa"/>
            <w:shd w:val="clear" w:color="auto" w:fill="92D050"/>
          </w:tcPr>
          <w:p w:rsidR="00CA7031" w:rsidRPr="008E1825" w:rsidRDefault="00CA7031" w:rsidP="003F3215">
            <w:pPr>
              <w:pBdr>
                <w:top w:val="nil"/>
                <w:left w:val="nil"/>
                <w:bottom w:val="nil"/>
                <w:right w:val="nil"/>
                <w:between w:val="nil"/>
              </w:pBdr>
              <w:tabs>
                <w:tab w:val="center" w:pos="4536"/>
                <w:tab w:val="right" w:pos="9072"/>
              </w:tabs>
              <w:jc w:val="center"/>
              <w:rPr>
                <w:b/>
                <w:color w:val="000000"/>
              </w:rPr>
            </w:pPr>
            <w:r w:rsidRPr="008E1825">
              <w:rPr>
                <w:b/>
                <w:color w:val="000000"/>
              </w:rPr>
              <w:t>PROGRAM</w:t>
            </w:r>
          </w:p>
        </w:tc>
        <w:tc>
          <w:tcPr>
            <w:tcW w:w="3089" w:type="dxa"/>
            <w:shd w:val="clear" w:color="auto" w:fill="92D050"/>
          </w:tcPr>
          <w:p w:rsidR="00CA7031" w:rsidRPr="008E1825" w:rsidRDefault="00CA7031" w:rsidP="003F3215">
            <w:pPr>
              <w:pBdr>
                <w:top w:val="nil"/>
                <w:left w:val="nil"/>
                <w:bottom w:val="nil"/>
                <w:right w:val="nil"/>
                <w:between w:val="nil"/>
              </w:pBdr>
              <w:tabs>
                <w:tab w:val="center" w:pos="4536"/>
                <w:tab w:val="right" w:pos="9072"/>
              </w:tabs>
              <w:jc w:val="center"/>
              <w:rPr>
                <w:b/>
                <w:color w:val="000000"/>
              </w:rPr>
            </w:pPr>
            <w:r w:rsidRPr="008E1825">
              <w:rPr>
                <w:b/>
                <w:color w:val="000000"/>
              </w:rPr>
              <w:t>PISNO preverjanje</w:t>
            </w:r>
          </w:p>
        </w:tc>
        <w:tc>
          <w:tcPr>
            <w:tcW w:w="3089" w:type="dxa"/>
            <w:shd w:val="clear" w:color="auto" w:fill="92D050"/>
          </w:tcPr>
          <w:p w:rsidR="00CA7031" w:rsidRPr="008E1825" w:rsidRDefault="00CA7031" w:rsidP="003F3215">
            <w:pPr>
              <w:pBdr>
                <w:top w:val="nil"/>
                <w:left w:val="nil"/>
                <w:bottom w:val="nil"/>
                <w:right w:val="nil"/>
                <w:between w:val="nil"/>
              </w:pBdr>
              <w:tabs>
                <w:tab w:val="center" w:pos="4536"/>
                <w:tab w:val="right" w:pos="9072"/>
              </w:tabs>
              <w:jc w:val="center"/>
              <w:rPr>
                <w:b/>
                <w:color w:val="000000"/>
              </w:rPr>
            </w:pPr>
            <w:r w:rsidRPr="008E1825">
              <w:rPr>
                <w:b/>
                <w:color w:val="000000"/>
              </w:rPr>
              <w:t>USTNO preverjanje</w:t>
            </w:r>
          </w:p>
        </w:tc>
      </w:tr>
      <w:tr w:rsidR="00CA7031" w:rsidTr="003F3215">
        <w:tc>
          <w:tcPr>
            <w:tcW w:w="3110"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nižje poklicno izobraževanje (NPI)</w:t>
            </w:r>
          </w:p>
        </w:tc>
        <w:tc>
          <w:tcPr>
            <w:tcW w:w="3089"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50 %</w:t>
            </w:r>
          </w:p>
        </w:tc>
        <w:tc>
          <w:tcPr>
            <w:tcW w:w="3089"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50 %</w:t>
            </w:r>
          </w:p>
        </w:tc>
      </w:tr>
      <w:tr w:rsidR="00CA7031" w:rsidTr="003F3215">
        <w:tc>
          <w:tcPr>
            <w:tcW w:w="3110"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poklicni programi (SPI)</w:t>
            </w:r>
          </w:p>
        </w:tc>
        <w:tc>
          <w:tcPr>
            <w:tcW w:w="3089"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50 %</w:t>
            </w:r>
          </w:p>
        </w:tc>
        <w:tc>
          <w:tcPr>
            <w:tcW w:w="3089"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50 %</w:t>
            </w:r>
          </w:p>
        </w:tc>
      </w:tr>
      <w:tr w:rsidR="00CA7031" w:rsidTr="003F3215">
        <w:tc>
          <w:tcPr>
            <w:tcW w:w="3110" w:type="dxa"/>
          </w:tcPr>
          <w:p w:rsidR="00CA7031" w:rsidRPr="00E554CA" w:rsidRDefault="00CA7031" w:rsidP="003F3215">
            <w:pPr>
              <w:pBdr>
                <w:top w:val="nil"/>
                <w:left w:val="nil"/>
                <w:bottom w:val="nil"/>
                <w:right w:val="nil"/>
                <w:between w:val="nil"/>
              </w:pBdr>
              <w:tabs>
                <w:tab w:val="center" w:pos="4536"/>
                <w:tab w:val="right" w:pos="9072"/>
              </w:tabs>
              <w:jc w:val="both"/>
              <w:rPr>
                <w:color w:val="000000"/>
              </w:rPr>
            </w:pPr>
            <w:r w:rsidRPr="00E554CA">
              <w:rPr>
                <w:color w:val="000000"/>
              </w:rPr>
              <w:t>poklicni program (PTI)</w:t>
            </w:r>
          </w:p>
        </w:tc>
        <w:tc>
          <w:tcPr>
            <w:tcW w:w="3089" w:type="dxa"/>
          </w:tcPr>
          <w:p w:rsidR="00CA7031" w:rsidRPr="00E554CA" w:rsidRDefault="00CA7031" w:rsidP="003F3215">
            <w:pPr>
              <w:pBdr>
                <w:top w:val="nil"/>
                <w:left w:val="nil"/>
                <w:bottom w:val="nil"/>
                <w:right w:val="nil"/>
                <w:between w:val="nil"/>
              </w:pBdr>
              <w:tabs>
                <w:tab w:val="center" w:pos="4536"/>
                <w:tab w:val="right" w:pos="9072"/>
              </w:tabs>
              <w:jc w:val="both"/>
              <w:rPr>
                <w:color w:val="000000"/>
              </w:rPr>
            </w:pPr>
            <w:r w:rsidRPr="00E554CA">
              <w:rPr>
                <w:color w:val="000000"/>
              </w:rPr>
              <w:t>70 %</w:t>
            </w:r>
          </w:p>
        </w:tc>
        <w:tc>
          <w:tcPr>
            <w:tcW w:w="3089" w:type="dxa"/>
          </w:tcPr>
          <w:p w:rsidR="00CA7031" w:rsidRPr="00E554CA" w:rsidRDefault="00CA7031" w:rsidP="003F3215">
            <w:pPr>
              <w:pBdr>
                <w:top w:val="nil"/>
                <w:left w:val="nil"/>
                <w:bottom w:val="nil"/>
                <w:right w:val="nil"/>
                <w:between w:val="nil"/>
              </w:pBdr>
              <w:tabs>
                <w:tab w:val="center" w:pos="4536"/>
                <w:tab w:val="right" w:pos="9072"/>
              </w:tabs>
              <w:jc w:val="both"/>
              <w:rPr>
                <w:color w:val="000000"/>
              </w:rPr>
            </w:pPr>
            <w:r w:rsidRPr="00E554CA">
              <w:rPr>
                <w:color w:val="000000"/>
              </w:rPr>
              <w:t>30 %</w:t>
            </w:r>
          </w:p>
        </w:tc>
      </w:tr>
      <w:tr w:rsidR="00CA7031" w:rsidTr="003F3215">
        <w:tc>
          <w:tcPr>
            <w:tcW w:w="3110" w:type="dxa"/>
          </w:tcPr>
          <w:p w:rsidR="00CA7031" w:rsidRPr="00E554CA" w:rsidRDefault="00CA7031" w:rsidP="003F3215">
            <w:pPr>
              <w:pBdr>
                <w:top w:val="nil"/>
                <w:left w:val="nil"/>
                <w:bottom w:val="nil"/>
                <w:right w:val="nil"/>
                <w:between w:val="nil"/>
              </w:pBdr>
              <w:tabs>
                <w:tab w:val="center" w:pos="4536"/>
                <w:tab w:val="right" w:pos="9072"/>
              </w:tabs>
              <w:jc w:val="both"/>
              <w:rPr>
                <w:color w:val="000000"/>
              </w:rPr>
            </w:pPr>
            <w:r w:rsidRPr="00E554CA">
              <w:rPr>
                <w:color w:val="000000"/>
              </w:rPr>
              <w:t>strojni tehnik (SSI)</w:t>
            </w:r>
          </w:p>
        </w:tc>
        <w:tc>
          <w:tcPr>
            <w:tcW w:w="3089" w:type="dxa"/>
          </w:tcPr>
          <w:p w:rsidR="00CA7031" w:rsidRPr="00E554CA" w:rsidRDefault="00CA7031" w:rsidP="003F3215">
            <w:pPr>
              <w:pBdr>
                <w:top w:val="nil"/>
                <w:left w:val="nil"/>
                <w:bottom w:val="nil"/>
                <w:right w:val="nil"/>
                <w:between w:val="nil"/>
              </w:pBdr>
              <w:tabs>
                <w:tab w:val="center" w:pos="4536"/>
                <w:tab w:val="right" w:pos="9072"/>
              </w:tabs>
              <w:jc w:val="both"/>
              <w:rPr>
                <w:color w:val="000000"/>
              </w:rPr>
            </w:pPr>
            <w:r w:rsidRPr="00E554CA">
              <w:rPr>
                <w:color w:val="000000"/>
              </w:rPr>
              <w:t>70 %</w:t>
            </w:r>
          </w:p>
        </w:tc>
        <w:tc>
          <w:tcPr>
            <w:tcW w:w="3089" w:type="dxa"/>
          </w:tcPr>
          <w:p w:rsidR="00CA7031" w:rsidRPr="00E554CA" w:rsidRDefault="00CA7031" w:rsidP="003F3215">
            <w:pPr>
              <w:pBdr>
                <w:top w:val="nil"/>
                <w:left w:val="nil"/>
                <w:bottom w:val="nil"/>
                <w:right w:val="nil"/>
                <w:between w:val="nil"/>
              </w:pBdr>
              <w:tabs>
                <w:tab w:val="center" w:pos="4536"/>
                <w:tab w:val="right" w:pos="9072"/>
              </w:tabs>
              <w:jc w:val="both"/>
              <w:rPr>
                <w:color w:val="000000"/>
              </w:rPr>
            </w:pPr>
            <w:r w:rsidRPr="00E554CA">
              <w:rPr>
                <w:color w:val="000000"/>
              </w:rPr>
              <w:t>30 %</w:t>
            </w:r>
          </w:p>
        </w:tc>
      </w:tr>
      <w:tr w:rsidR="00CA7031" w:rsidTr="003F3215">
        <w:tc>
          <w:tcPr>
            <w:tcW w:w="3110"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tehniška gimnazija</w:t>
            </w:r>
          </w:p>
        </w:tc>
        <w:tc>
          <w:tcPr>
            <w:tcW w:w="3089"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75 %</w:t>
            </w:r>
          </w:p>
        </w:tc>
        <w:tc>
          <w:tcPr>
            <w:tcW w:w="3089" w:type="dxa"/>
          </w:tcPr>
          <w:p w:rsidR="00CA7031" w:rsidRDefault="00CA7031" w:rsidP="003F3215">
            <w:pPr>
              <w:pBdr>
                <w:top w:val="nil"/>
                <w:left w:val="nil"/>
                <w:bottom w:val="nil"/>
                <w:right w:val="nil"/>
                <w:between w:val="nil"/>
              </w:pBdr>
              <w:tabs>
                <w:tab w:val="center" w:pos="4536"/>
                <w:tab w:val="right" w:pos="9072"/>
              </w:tabs>
              <w:jc w:val="both"/>
              <w:rPr>
                <w:color w:val="000000"/>
              </w:rPr>
            </w:pPr>
            <w:r>
              <w:rPr>
                <w:color w:val="000000"/>
              </w:rPr>
              <w:t>25 %</w:t>
            </w:r>
          </w:p>
        </w:tc>
      </w:tr>
    </w:tbl>
    <w:p w:rsidR="00CA7031" w:rsidRDefault="00CA7031" w:rsidP="00CA7031">
      <w:pPr>
        <w:pBdr>
          <w:top w:val="nil"/>
          <w:left w:val="nil"/>
          <w:bottom w:val="nil"/>
          <w:right w:val="nil"/>
          <w:between w:val="nil"/>
        </w:pBdr>
        <w:rPr>
          <w:color w:val="000000"/>
        </w:rPr>
      </w:pPr>
    </w:p>
    <w:p w:rsidR="00364480" w:rsidRDefault="00364480" w:rsidP="00CA7031">
      <w:pPr>
        <w:pBdr>
          <w:top w:val="nil"/>
          <w:left w:val="nil"/>
          <w:bottom w:val="nil"/>
          <w:right w:val="nil"/>
          <w:between w:val="nil"/>
        </w:pBdr>
        <w:jc w:val="both"/>
        <w:rPr>
          <w:b/>
          <w:color w:val="000000"/>
          <w:u w:val="single"/>
        </w:rPr>
      </w:pPr>
      <w:bookmarkStart w:id="1" w:name="_heading=h.mgreq5207jvc" w:colFirst="0" w:colLast="0"/>
      <w:bookmarkEnd w:id="1"/>
    </w:p>
    <w:p w:rsidR="00CA7031" w:rsidRPr="00BE2244" w:rsidRDefault="00BE2244" w:rsidP="00CA7031">
      <w:pPr>
        <w:pBdr>
          <w:top w:val="nil"/>
          <w:left w:val="nil"/>
          <w:bottom w:val="nil"/>
          <w:right w:val="nil"/>
          <w:between w:val="nil"/>
        </w:pBdr>
        <w:jc w:val="both"/>
        <w:rPr>
          <w:color w:val="000000"/>
          <w:sz w:val="28"/>
          <w:szCs w:val="28"/>
          <w:u w:val="single"/>
        </w:rPr>
      </w:pPr>
      <w:r w:rsidRPr="00BE2244">
        <w:rPr>
          <w:b/>
          <w:color w:val="000000"/>
          <w:sz w:val="28"/>
          <w:szCs w:val="28"/>
          <w:u w:val="single"/>
        </w:rPr>
        <w:t xml:space="preserve">4. </w:t>
      </w:r>
      <w:r w:rsidR="00CA7031" w:rsidRPr="00BE2244">
        <w:rPr>
          <w:b/>
          <w:color w:val="000000"/>
          <w:sz w:val="28"/>
          <w:szCs w:val="28"/>
          <w:u w:val="single"/>
        </w:rPr>
        <w:t xml:space="preserve">Dopolnilni in popravni izpiti </w:t>
      </w:r>
    </w:p>
    <w:p w:rsidR="00CA7031" w:rsidRPr="008709CF" w:rsidRDefault="00CA7031" w:rsidP="00CA7031">
      <w:pPr>
        <w:pBdr>
          <w:top w:val="nil"/>
          <w:left w:val="nil"/>
          <w:bottom w:val="nil"/>
          <w:right w:val="nil"/>
          <w:between w:val="nil"/>
        </w:pBdr>
        <w:jc w:val="both"/>
        <w:rPr>
          <w:color w:val="000000"/>
          <w:sz w:val="16"/>
          <w:szCs w:val="16"/>
        </w:rPr>
      </w:pPr>
    </w:p>
    <w:p w:rsidR="00CA7031" w:rsidRDefault="00CA7031" w:rsidP="00CA7031">
      <w:pPr>
        <w:pBdr>
          <w:top w:val="nil"/>
          <w:left w:val="nil"/>
          <w:bottom w:val="nil"/>
          <w:right w:val="nil"/>
          <w:between w:val="nil"/>
        </w:pBdr>
        <w:jc w:val="both"/>
        <w:rPr>
          <w:color w:val="000000"/>
        </w:rPr>
      </w:pPr>
      <w:r>
        <w:rPr>
          <w:b/>
          <w:color w:val="000000"/>
        </w:rPr>
        <w:t>Popravni izpit</w:t>
      </w:r>
      <w:r>
        <w:rPr>
          <w:color w:val="000000"/>
        </w:rPr>
        <w:t xml:space="preserve"> in </w:t>
      </w:r>
      <w:r>
        <w:rPr>
          <w:b/>
          <w:color w:val="000000"/>
        </w:rPr>
        <w:t>dopolnilni izpit</w:t>
      </w:r>
      <w:r>
        <w:rPr>
          <w:color w:val="000000"/>
        </w:rPr>
        <w:t xml:space="preserve"> sta sestavljena iz dveh delov, in sicer iz pisnega in ustnega dela. Pisni izpit  traja do 90 minut (pri dijakih 4. letnika tehniške gimnazije in strojnega tehnika traja pisni del do 180 minut, saj je to priprava na pisni del mature),  ustni del pa do 20 minut.  </w:t>
      </w:r>
    </w:p>
    <w:p w:rsidR="00CA7031" w:rsidRPr="008709CF" w:rsidRDefault="00CA7031" w:rsidP="00CA7031">
      <w:pPr>
        <w:pBdr>
          <w:top w:val="nil"/>
          <w:left w:val="nil"/>
          <w:bottom w:val="nil"/>
          <w:right w:val="nil"/>
          <w:between w:val="nil"/>
        </w:pBdr>
        <w:jc w:val="both"/>
        <w:rPr>
          <w:color w:val="000000"/>
          <w:sz w:val="16"/>
          <w:szCs w:val="16"/>
        </w:rPr>
      </w:pPr>
    </w:p>
    <w:p w:rsidR="00CA7031" w:rsidRDefault="00CA7031" w:rsidP="00CA7031">
      <w:pPr>
        <w:pBdr>
          <w:top w:val="nil"/>
          <w:left w:val="nil"/>
          <w:bottom w:val="nil"/>
          <w:right w:val="nil"/>
          <w:between w:val="nil"/>
        </w:pBdr>
        <w:jc w:val="both"/>
        <w:rPr>
          <w:color w:val="000000"/>
        </w:rPr>
      </w:pPr>
      <w:r>
        <w:rPr>
          <w:color w:val="000000"/>
        </w:rPr>
        <w:t xml:space="preserve">Za </w:t>
      </w:r>
      <w:r>
        <w:rPr>
          <w:b/>
          <w:color w:val="000000"/>
        </w:rPr>
        <w:t xml:space="preserve">ustni del izpita </w:t>
      </w:r>
      <w:r>
        <w:rPr>
          <w:color w:val="000000"/>
        </w:rPr>
        <w:t xml:space="preserve">ima kandidat 15 minut časa za pripravo. Učitelj pripravi 5 kompletov vprašanj več kot je kandidatov in jih skupaj s pisnim delom izroči v tajništvo oz. ravnatelju vsaj en dan pred izpitom. Pri </w:t>
      </w:r>
      <w:r>
        <w:rPr>
          <w:b/>
          <w:color w:val="000000"/>
        </w:rPr>
        <w:t>pisnem delu</w:t>
      </w:r>
      <w:r>
        <w:rPr>
          <w:color w:val="000000"/>
        </w:rPr>
        <w:t xml:space="preserve"> mora kandidat doseči vsaj 50 % točk za pozitivno oceno, pri </w:t>
      </w:r>
      <w:r>
        <w:rPr>
          <w:b/>
          <w:color w:val="000000"/>
        </w:rPr>
        <w:t>ustnem delu</w:t>
      </w:r>
      <w:r>
        <w:rPr>
          <w:color w:val="000000"/>
        </w:rPr>
        <w:t xml:space="preserve"> pa je ocenjen po kriterijih za ustno spraševanje. Če kandidat ne pristopi k pisnemu ali ustnemu delu, izpita ne opravi. </w:t>
      </w:r>
    </w:p>
    <w:p w:rsidR="00CA7031" w:rsidRPr="008709CF" w:rsidRDefault="00CA7031" w:rsidP="00CA7031">
      <w:pPr>
        <w:pBdr>
          <w:top w:val="nil"/>
          <w:left w:val="nil"/>
          <w:bottom w:val="nil"/>
          <w:right w:val="nil"/>
          <w:between w:val="nil"/>
        </w:pBdr>
        <w:jc w:val="both"/>
        <w:rPr>
          <w:color w:val="000000"/>
          <w:sz w:val="16"/>
          <w:szCs w:val="16"/>
        </w:rPr>
      </w:pPr>
    </w:p>
    <w:p w:rsidR="00CA7031" w:rsidRDefault="00CA7031" w:rsidP="00CA7031">
      <w:pPr>
        <w:pBdr>
          <w:top w:val="nil"/>
          <w:left w:val="nil"/>
          <w:bottom w:val="nil"/>
          <w:right w:val="nil"/>
          <w:between w:val="nil"/>
        </w:pBdr>
        <w:jc w:val="both"/>
        <w:rPr>
          <w:color w:val="000000"/>
        </w:rPr>
      </w:pPr>
      <w:r w:rsidRPr="00F55FCD">
        <w:rPr>
          <w:color w:val="000000"/>
        </w:rPr>
        <w:t>Pri popravnem izpitu na gimnazijskem programu in programu strojnega tehnika nosi pisna ocena 60 % delež skupne ocene, ustna pa 40 % (v 4. letniku tehniške gimnazije je razmerje med pisnim in ustnim delom 7</w:t>
      </w:r>
      <w:r w:rsidRPr="00F55FCD">
        <w:t>0</w:t>
      </w:r>
      <w:r w:rsidRPr="00F55FCD">
        <w:rPr>
          <w:color w:val="000000"/>
        </w:rPr>
        <w:t xml:space="preserve"> %/</w:t>
      </w:r>
      <w:r w:rsidRPr="00F55FCD">
        <w:t>30</w:t>
      </w:r>
      <w:r w:rsidRPr="00F55FCD">
        <w:rPr>
          <w:color w:val="000000"/>
        </w:rPr>
        <w:t xml:space="preserve"> %). Pri poklicni usmeritvi sta ustni in pisni del enakovredna, pisna ocena predstavlja 50 % delež skupne ocene, ustna ocena prav tako.</w:t>
      </w:r>
      <w:r>
        <w:rPr>
          <w:color w:val="000000"/>
        </w:rPr>
        <w:t xml:space="preserve">   </w:t>
      </w:r>
    </w:p>
    <w:p w:rsidR="00364480" w:rsidRDefault="00364480" w:rsidP="00CA7031">
      <w:pPr>
        <w:pBdr>
          <w:top w:val="nil"/>
          <w:left w:val="nil"/>
          <w:bottom w:val="nil"/>
          <w:right w:val="nil"/>
          <w:between w:val="nil"/>
        </w:pBdr>
        <w:jc w:val="both"/>
        <w:rPr>
          <w:color w:val="000000"/>
        </w:rPr>
      </w:pPr>
    </w:p>
    <w:p w:rsidR="00364480" w:rsidRPr="00364480" w:rsidRDefault="00364480" w:rsidP="00364480">
      <w:pPr>
        <w:pBdr>
          <w:top w:val="nil"/>
          <w:left w:val="nil"/>
          <w:bottom w:val="nil"/>
          <w:right w:val="nil"/>
          <w:between w:val="nil"/>
        </w:pBdr>
        <w:jc w:val="both"/>
        <w:rPr>
          <w:color w:val="000000"/>
        </w:rPr>
      </w:pPr>
      <w:r w:rsidRPr="00364480">
        <w:rPr>
          <w:color w:val="000000"/>
        </w:rPr>
        <w:t xml:space="preserve">Če dijak v ocenjevalnem obdobju ne pridobi vseh ocen, je </w:t>
      </w:r>
      <w:r w:rsidRPr="00BE2244">
        <w:rPr>
          <w:color w:val="000000"/>
        </w:rPr>
        <w:t>lahko</w:t>
      </w:r>
      <w:r w:rsidRPr="00364480">
        <w:rPr>
          <w:b/>
          <w:color w:val="000000"/>
        </w:rPr>
        <w:t xml:space="preserve"> neocenjen</w:t>
      </w:r>
      <w:r w:rsidRPr="00364480">
        <w:rPr>
          <w:color w:val="000000"/>
        </w:rPr>
        <w:t xml:space="preserve"> in mu v tem primeru učitelj določi datum za pridobitev manjkajočih ocen. Na koncu šolskega leta pa neocenjen dijak </w:t>
      </w:r>
      <w:r w:rsidRPr="00364480">
        <w:rPr>
          <w:b/>
          <w:color w:val="000000"/>
        </w:rPr>
        <w:t>opravlja dopolnilni izpit</w:t>
      </w:r>
      <w:r w:rsidRPr="00364480">
        <w:rPr>
          <w:color w:val="000000"/>
        </w:rPr>
        <w:t>.</w:t>
      </w:r>
    </w:p>
    <w:p w:rsidR="00364480" w:rsidRPr="008709CF" w:rsidRDefault="00364480" w:rsidP="00364480">
      <w:pPr>
        <w:pBdr>
          <w:top w:val="nil"/>
          <w:left w:val="nil"/>
          <w:bottom w:val="nil"/>
          <w:right w:val="nil"/>
          <w:between w:val="nil"/>
        </w:pBdr>
        <w:jc w:val="both"/>
        <w:rPr>
          <w:b/>
          <w:color w:val="000000"/>
          <w:sz w:val="16"/>
          <w:szCs w:val="16"/>
        </w:rPr>
      </w:pPr>
    </w:p>
    <w:p w:rsidR="00364480" w:rsidRPr="00364480" w:rsidRDefault="00364480" w:rsidP="00364480">
      <w:pPr>
        <w:pBdr>
          <w:top w:val="nil"/>
          <w:left w:val="nil"/>
          <w:bottom w:val="nil"/>
          <w:right w:val="nil"/>
          <w:between w:val="nil"/>
        </w:pBdr>
        <w:jc w:val="both"/>
        <w:rPr>
          <w:color w:val="000000"/>
        </w:rPr>
      </w:pPr>
      <w:r w:rsidRPr="00364480">
        <w:rPr>
          <w:color w:val="000000"/>
        </w:rPr>
        <w:lastRenderedPageBreak/>
        <w:t xml:space="preserve">Dijak je </w:t>
      </w:r>
      <w:r w:rsidRPr="00364480">
        <w:rPr>
          <w:b/>
          <w:color w:val="000000"/>
        </w:rPr>
        <w:t>negativno ocenjen</w:t>
      </w:r>
      <w:r w:rsidRPr="00364480">
        <w:rPr>
          <w:color w:val="000000"/>
        </w:rPr>
        <w:t xml:space="preserve">, če </w:t>
      </w:r>
      <w:r w:rsidRPr="00364480">
        <w:rPr>
          <w:b/>
          <w:color w:val="000000"/>
        </w:rPr>
        <w:t>ne pridobi pozitivne ocene pri kontrolnih nalogah</w:t>
      </w:r>
      <w:r w:rsidRPr="00364480">
        <w:rPr>
          <w:color w:val="000000"/>
        </w:rPr>
        <w:t>. V zaključnem letniku tehniške gimnazije, programov PTI in SSI pa tudi pri šolski nalogi (vodeni spis, esej).</w:t>
      </w:r>
      <w:r w:rsidR="00BE2244">
        <w:rPr>
          <w:color w:val="000000"/>
        </w:rPr>
        <w:t xml:space="preserve"> Na koncu šolskega leta negativno ocenjen</w:t>
      </w:r>
      <w:r w:rsidR="00BE2244" w:rsidRPr="00364480">
        <w:rPr>
          <w:color w:val="000000"/>
        </w:rPr>
        <w:t xml:space="preserve"> dijak </w:t>
      </w:r>
      <w:r w:rsidR="00BE2244" w:rsidRPr="00364480">
        <w:rPr>
          <w:b/>
          <w:color w:val="000000"/>
        </w:rPr>
        <w:t xml:space="preserve">opravlja </w:t>
      </w:r>
      <w:r w:rsidR="00BE2244">
        <w:rPr>
          <w:b/>
          <w:color w:val="000000"/>
        </w:rPr>
        <w:t>popravni</w:t>
      </w:r>
      <w:r w:rsidR="00BE2244" w:rsidRPr="00364480">
        <w:rPr>
          <w:b/>
          <w:color w:val="000000"/>
        </w:rPr>
        <w:t xml:space="preserve"> izpit</w:t>
      </w:r>
      <w:r w:rsidR="00BE2244" w:rsidRPr="00364480">
        <w:rPr>
          <w:color w:val="000000"/>
        </w:rPr>
        <w:t>.</w:t>
      </w:r>
    </w:p>
    <w:p w:rsidR="00364480" w:rsidRDefault="00364480" w:rsidP="00CA7031">
      <w:pPr>
        <w:pBdr>
          <w:top w:val="nil"/>
          <w:left w:val="nil"/>
          <w:bottom w:val="nil"/>
          <w:right w:val="nil"/>
          <w:between w:val="nil"/>
        </w:pBdr>
        <w:jc w:val="both"/>
        <w:rPr>
          <w:color w:val="000000"/>
        </w:rPr>
      </w:pPr>
    </w:p>
    <w:p w:rsidR="00CA7031" w:rsidRDefault="00CA7031" w:rsidP="00CA7031">
      <w:pPr>
        <w:pBdr>
          <w:top w:val="nil"/>
          <w:left w:val="nil"/>
          <w:bottom w:val="nil"/>
          <w:right w:val="nil"/>
          <w:between w:val="nil"/>
        </w:pBdr>
        <w:jc w:val="both"/>
        <w:rPr>
          <w:b/>
          <w:color w:val="000000"/>
        </w:rPr>
      </w:pPr>
    </w:p>
    <w:p w:rsidR="00CA7031" w:rsidRPr="00BE2244" w:rsidRDefault="00BE2244" w:rsidP="00CA7031">
      <w:pPr>
        <w:pBdr>
          <w:top w:val="nil"/>
          <w:left w:val="nil"/>
          <w:bottom w:val="nil"/>
          <w:right w:val="nil"/>
          <w:between w:val="nil"/>
        </w:pBdr>
        <w:jc w:val="both"/>
        <w:rPr>
          <w:color w:val="000000"/>
          <w:sz w:val="28"/>
          <w:szCs w:val="28"/>
          <w:u w:val="single"/>
        </w:rPr>
      </w:pPr>
      <w:r w:rsidRPr="00BE2244">
        <w:rPr>
          <w:b/>
          <w:color w:val="000000"/>
          <w:sz w:val="28"/>
          <w:szCs w:val="28"/>
          <w:u w:val="single"/>
        </w:rPr>
        <w:t xml:space="preserve">5. </w:t>
      </w:r>
      <w:r w:rsidR="00CA7031" w:rsidRPr="00BE2244">
        <w:rPr>
          <w:b/>
          <w:color w:val="000000"/>
          <w:sz w:val="28"/>
          <w:szCs w:val="28"/>
          <w:u w:val="single"/>
        </w:rPr>
        <w:t>Dodatna ocenjevanja</w:t>
      </w:r>
    </w:p>
    <w:p w:rsidR="00CA7031" w:rsidRDefault="00CA7031" w:rsidP="00CA7031">
      <w:pPr>
        <w:pBdr>
          <w:top w:val="nil"/>
          <w:left w:val="nil"/>
          <w:bottom w:val="nil"/>
          <w:right w:val="nil"/>
          <w:between w:val="nil"/>
        </w:pBdr>
        <w:jc w:val="both"/>
        <w:rPr>
          <w:color w:val="000000"/>
        </w:rPr>
      </w:pPr>
    </w:p>
    <w:p w:rsidR="00CA7031" w:rsidRDefault="00CA7031" w:rsidP="00CA7031">
      <w:pPr>
        <w:pBdr>
          <w:top w:val="nil"/>
          <w:left w:val="nil"/>
          <w:bottom w:val="nil"/>
          <w:right w:val="nil"/>
          <w:between w:val="nil"/>
        </w:pBdr>
        <w:tabs>
          <w:tab w:val="center" w:pos="4536"/>
          <w:tab w:val="right" w:pos="9072"/>
        </w:tabs>
        <w:jc w:val="both"/>
        <w:rPr>
          <w:color w:val="000000"/>
        </w:rPr>
      </w:pPr>
      <w:r>
        <w:rPr>
          <w:color w:val="000000"/>
        </w:rPr>
        <w:t>Pri dijakih vseh programov zahtevamo, da imajo urejen zvezek in delovni zvezek, saj je to pogoj za uspešno delo pri pouku.</w:t>
      </w:r>
    </w:p>
    <w:p w:rsidR="00CA7031" w:rsidRPr="008709CF" w:rsidRDefault="00CA7031" w:rsidP="00CA7031">
      <w:pPr>
        <w:pBdr>
          <w:top w:val="nil"/>
          <w:left w:val="nil"/>
          <w:bottom w:val="nil"/>
          <w:right w:val="nil"/>
          <w:between w:val="nil"/>
        </w:pBdr>
        <w:jc w:val="both"/>
        <w:rPr>
          <w:color w:val="000000"/>
          <w:sz w:val="16"/>
          <w:szCs w:val="16"/>
        </w:rPr>
      </w:pPr>
      <w:bookmarkStart w:id="2" w:name="_GoBack"/>
      <w:bookmarkEnd w:id="2"/>
    </w:p>
    <w:p w:rsidR="00CA7031" w:rsidRDefault="00CA7031" w:rsidP="00CA7031">
      <w:pPr>
        <w:pBdr>
          <w:top w:val="nil"/>
          <w:left w:val="nil"/>
          <w:bottom w:val="nil"/>
          <w:right w:val="nil"/>
          <w:between w:val="nil"/>
        </w:pBdr>
        <w:tabs>
          <w:tab w:val="center" w:pos="4536"/>
          <w:tab w:val="right" w:pos="9072"/>
        </w:tabs>
        <w:jc w:val="both"/>
        <w:rPr>
          <w:color w:val="000000"/>
        </w:rPr>
      </w:pPr>
      <w:r>
        <w:rPr>
          <w:color w:val="000000"/>
        </w:rPr>
        <w:t>Za pozitivno oceno morajo dijaki doseči 50 % točk, za zadostno oceno 50–64 %, za dobro 65–79 %, za prav dobro 80–89 %, za odlično 90–100 %. Seveda so možne prilagoditve kriterijev, če to pripomore k boljšemu uspehu – boljšim rezultatom. 50 % meja za pozitivno oceno velja za vse letnike in programe.</w:t>
      </w:r>
    </w:p>
    <w:p w:rsidR="00CA7031" w:rsidRDefault="00CA7031" w:rsidP="00CA7031">
      <w:pPr>
        <w:pBdr>
          <w:top w:val="nil"/>
          <w:left w:val="nil"/>
          <w:bottom w:val="nil"/>
          <w:right w:val="nil"/>
          <w:between w:val="nil"/>
        </w:pBdr>
        <w:rPr>
          <w:color w:val="000000"/>
          <w:u w:val="single"/>
        </w:rPr>
      </w:pPr>
    </w:p>
    <w:p w:rsidR="00CA7031" w:rsidRDefault="00CA7031" w:rsidP="00CA7031">
      <w:pPr>
        <w:rPr>
          <w:b/>
          <w:i/>
          <w:u w:val="single"/>
        </w:rPr>
      </w:pPr>
    </w:p>
    <w:p w:rsidR="00CA7031" w:rsidRDefault="00CA7031" w:rsidP="00CA7031">
      <w:pPr>
        <w:rPr>
          <w:b/>
          <w:i/>
          <w:u w:val="single"/>
        </w:rPr>
      </w:pPr>
    </w:p>
    <w:p w:rsidR="00CA7031" w:rsidRDefault="00CA7031" w:rsidP="00CA7031"/>
    <w:p w:rsidR="00CA7031" w:rsidRDefault="00CA7031" w:rsidP="00CA7031"/>
    <w:p w:rsidR="00AF7F59" w:rsidRDefault="00AF7F59"/>
    <w:sectPr w:rsidR="00AF7F5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2"/>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31"/>
    <w:rsid w:val="0025547D"/>
    <w:rsid w:val="00364480"/>
    <w:rsid w:val="008709CF"/>
    <w:rsid w:val="00AF7F59"/>
    <w:rsid w:val="00BE2244"/>
    <w:rsid w:val="00CA703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302C9"/>
  <w15:chartTrackingRefBased/>
  <w15:docId w15:val="{027BF886-12D4-479D-A02D-62205930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rsid w:val="00CA7031"/>
    <w:pPr>
      <w:spacing w:after="0" w:line="240" w:lineRule="auto"/>
    </w:pPr>
    <w:rPr>
      <w:rFonts w:ascii="Times New Roman" w:eastAsia="Times New Roman" w:hAnsi="Times New Roman" w:cs="Times New Roman"/>
      <w:sz w:val="24"/>
      <w:szCs w:val="24"/>
      <w:lang w:val="sl"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CA7031"/>
    <w:pPr>
      <w:spacing w:after="0" w:line="240" w:lineRule="auto"/>
    </w:pPr>
    <w:rPr>
      <w:rFonts w:ascii="Times New Roman" w:eastAsia="Times New Roman" w:hAnsi="Times New Roman" w:cs="Times New Roman"/>
      <w:sz w:val="24"/>
      <w:szCs w:val="24"/>
      <w:lang w:val="sl"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7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818</Words>
  <Characters>4668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dc:creator>
  <cp:keywords/>
  <dc:description/>
  <cp:lastModifiedBy>Uporabnik</cp:lastModifiedBy>
  <cp:revision>5</cp:revision>
  <dcterms:created xsi:type="dcterms:W3CDTF">2025-09-15T07:06:00Z</dcterms:created>
  <dcterms:modified xsi:type="dcterms:W3CDTF">2025-10-08T11:07:00Z</dcterms:modified>
</cp:coreProperties>
</file>