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6F" w:rsidRPr="008D44EF" w:rsidRDefault="008D44EF">
      <w:pPr>
        <w:rPr>
          <w:b/>
          <w:sz w:val="24"/>
        </w:rPr>
      </w:pPr>
      <w:r w:rsidRPr="008D44EF">
        <w:rPr>
          <w:b/>
          <w:sz w:val="24"/>
        </w:rPr>
        <w:t>TEDEN 23. 3. – 27. 3. 2020</w:t>
      </w:r>
    </w:p>
    <w:p w:rsidR="008D44EF" w:rsidRPr="008D44EF" w:rsidRDefault="008D44EF">
      <w:pPr>
        <w:rPr>
          <w:b/>
          <w:sz w:val="24"/>
        </w:rPr>
      </w:pPr>
      <w:r w:rsidRPr="008D44EF">
        <w:rPr>
          <w:b/>
          <w:sz w:val="24"/>
        </w:rPr>
        <w:t>GLASBENA UMETNOST</w:t>
      </w:r>
    </w:p>
    <w:p w:rsidR="008D44EF" w:rsidRDefault="008D44EF"/>
    <w:p w:rsidR="008D44EF" w:rsidRDefault="008D44EF">
      <w:r>
        <w:t>Označi, ko nalogo opraviš.</w:t>
      </w:r>
    </w:p>
    <w:p w:rsidR="008D44EF" w:rsidRDefault="008D44EF"/>
    <w:p w:rsidR="008D44EF" w:rsidRDefault="008D44EF" w:rsidP="008D44EF">
      <w:pPr>
        <w:pStyle w:val="Odstavekseznama"/>
        <w:numPr>
          <w:ilvl w:val="0"/>
          <w:numId w:val="1"/>
        </w:numPr>
      </w:pPr>
      <w:r>
        <w:t>Če imaš doma kakšne Orffove inštrumente, jih lahko uporabiš. Če jih nimaš, naberi nekaj kamenčkov. Izmisli si ritem in ga zaigraj. Izmisli si še kakšen inštrument iz predmetov, ki jih najdeš doma.</w:t>
      </w:r>
    </w:p>
    <w:p w:rsidR="008D44EF" w:rsidRDefault="008D44EF" w:rsidP="008D44EF"/>
    <w:p w:rsidR="008D44EF" w:rsidRDefault="008D44EF" w:rsidP="008D44EF">
      <w:pPr>
        <w:pStyle w:val="Odstavekseznama"/>
        <w:numPr>
          <w:ilvl w:val="0"/>
          <w:numId w:val="1"/>
        </w:numPr>
      </w:pPr>
      <w:r>
        <w:t>Ponovi znane pesmi. Spremljave pesmic najdeš tu:</w:t>
      </w:r>
    </w:p>
    <w:p w:rsidR="008D44EF" w:rsidRDefault="008D44EF" w:rsidP="008D44EF">
      <w:pPr>
        <w:ind w:left="360"/>
      </w:pPr>
      <w:hyperlink r:id="rId5" w:history="1">
        <w:r>
          <w:rPr>
            <w:rStyle w:val="Hiperpovezava"/>
          </w:rPr>
          <w:t>https://www.lilibi.si/solska-ulica/glasbena-umetnost/pesmice-1</w:t>
        </w:r>
      </w:hyperlink>
    </w:p>
    <w:p w:rsidR="008D44EF" w:rsidRDefault="008D44EF" w:rsidP="008D44EF"/>
    <w:p w:rsidR="008D44EF" w:rsidRDefault="008D44EF" w:rsidP="008D44EF">
      <w:bookmarkStart w:id="0" w:name="_GoBack"/>
      <w:bookmarkEnd w:id="0"/>
    </w:p>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tbl>
      <w:tblPr>
        <w:tblStyle w:val="Tabelamrea"/>
        <w:tblpPr w:leftFromText="141" w:rightFromText="141" w:horzAnchor="page" w:tblpX="6376" w:tblpY="1020"/>
        <w:tblW w:w="0" w:type="auto"/>
        <w:tblLayout w:type="fixed"/>
        <w:tblLook w:val="04A0" w:firstRow="1" w:lastRow="0" w:firstColumn="1" w:lastColumn="0" w:noHBand="0" w:noVBand="1"/>
      </w:tblPr>
      <w:tblGrid>
        <w:gridCol w:w="1802"/>
        <w:gridCol w:w="1802"/>
      </w:tblGrid>
      <w:tr w:rsidR="008D44EF" w:rsidRPr="008D44EF" w:rsidTr="008D44EF">
        <w:tc>
          <w:tcPr>
            <w:tcW w:w="1802" w:type="dxa"/>
          </w:tcPr>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jc w:val="center"/>
              <w:rPr>
                <w:rFonts w:ascii="Arial" w:hAnsi="Arial" w:cs="Arial"/>
                <w:color w:val="000000"/>
                <w:sz w:val="23"/>
                <w:szCs w:val="23"/>
              </w:rPr>
            </w:pPr>
            <w:r w:rsidRPr="008D44EF">
              <w:rPr>
                <w:rFonts w:ascii="Arial" w:hAnsi="Arial" w:cs="Arial"/>
                <w:noProof/>
                <w:color w:val="000000"/>
                <w:sz w:val="23"/>
                <w:szCs w:val="23"/>
                <w:lang w:eastAsia="sl-SI"/>
              </w:rPr>
              <w:drawing>
                <wp:inline distT="0" distB="0" distL="0" distR="0" wp14:anchorId="1A3A2303" wp14:editId="435DFB2A">
                  <wp:extent cx="373726" cy="304518"/>
                  <wp:effectExtent l="0" t="0" r="762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820" cy="324965"/>
                          </a:xfrm>
                          <a:prstGeom prst="rect">
                            <a:avLst/>
                          </a:prstGeom>
                          <a:noFill/>
                          <a:ln>
                            <a:noFill/>
                          </a:ln>
                        </pic:spPr>
                      </pic:pic>
                    </a:graphicData>
                  </a:graphic>
                </wp:inline>
              </w:drawing>
            </w:r>
          </w:p>
        </w:tc>
        <w:tc>
          <w:tcPr>
            <w:tcW w:w="1802" w:type="dxa"/>
          </w:tcPr>
          <w:p w:rsidR="008D44EF" w:rsidRPr="008D44EF" w:rsidRDefault="008D44EF" w:rsidP="008D44EF">
            <w:pPr>
              <w:autoSpaceDE w:val="0"/>
              <w:autoSpaceDN w:val="0"/>
              <w:adjustRightInd w:val="0"/>
              <w:jc w:val="center"/>
              <w:rPr>
                <w:rFonts w:ascii="Arial" w:hAnsi="Arial" w:cs="Arial"/>
                <w:color w:val="000000"/>
                <w:sz w:val="23"/>
                <w:szCs w:val="23"/>
              </w:rPr>
            </w:pPr>
            <w:r w:rsidRPr="008D44EF">
              <w:rPr>
                <w:rFonts w:ascii="Arial" w:hAnsi="Arial" w:cs="Arial"/>
                <w:noProof/>
                <w:color w:val="000000"/>
                <w:sz w:val="23"/>
                <w:szCs w:val="23"/>
                <w:lang w:eastAsia="sl-SI"/>
              </w:rPr>
              <w:drawing>
                <wp:inline distT="0" distB="0" distL="0" distR="0" wp14:anchorId="07794245" wp14:editId="51EFF388">
                  <wp:extent cx="346710" cy="364957"/>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203" cy="369686"/>
                          </a:xfrm>
                          <a:prstGeom prst="rect">
                            <a:avLst/>
                          </a:prstGeom>
                          <a:noFill/>
                          <a:ln>
                            <a:noFill/>
                          </a:ln>
                        </pic:spPr>
                      </pic:pic>
                    </a:graphicData>
                  </a:graphic>
                </wp:inline>
              </w:drawing>
            </w:r>
          </w:p>
        </w:tc>
      </w:tr>
      <w:tr w:rsidR="008D44EF" w:rsidRPr="008D44EF" w:rsidTr="008D44EF">
        <w:tc>
          <w:tcPr>
            <w:tcW w:w="1802" w:type="dxa"/>
          </w:tcPr>
          <w:p w:rsidR="008D44EF" w:rsidRPr="008D44EF" w:rsidRDefault="008D44EF" w:rsidP="008D44EF">
            <w:pPr>
              <w:autoSpaceDE w:val="0"/>
              <w:autoSpaceDN w:val="0"/>
              <w:adjustRightInd w:val="0"/>
              <w:rPr>
                <w:rFonts w:ascii="Arial" w:hAnsi="Arial" w:cs="Arial"/>
                <w:color w:val="000000"/>
                <w:sz w:val="23"/>
                <w:szCs w:val="23"/>
              </w:rPr>
            </w:pPr>
          </w:p>
          <w:p w:rsidR="008D44EF" w:rsidRDefault="008D44EF" w:rsidP="008D44EF">
            <w:pPr>
              <w:autoSpaceDE w:val="0"/>
              <w:autoSpaceDN w:val="0"/>
              <w:adjustRightInd w:val="0"/>
              <w:rPr>
                <w:rFonts w:ascii="Arial" w:hAnsi="Arial" w:cs="Arial"/>
                <w:color w:val="000000"/>
                <w:sz w:val="23"/>
                <w:szCs w:val="23"/>
              </w:rPr>
            </w:pPr>
          </w:p>
          <w:p w:rsidR="008D44EF" w:rsidRDefault="008D44EF" w:rsidP="008D44EF">
            <w:pPr>
              <w:autoSpaceDE w:val="0"/>
              <w:autoSpaceDN w:val="0"/>
              <w:adjustRightInd w:val="0"/>
              <w:rPr>
                <w:rFonts w:ascii="Arial" w:hAnsi="Arial" w:cs="Arial"/>
                <w:color w:val="000000"/>
                <w:sz w:val="23"/>
                <w:szCs w:val="23"/>
              </w:rPr>
            </w:pPr>
          </w:p>
          <w:p w:rsidR="008D44EF" w:rsidRDefault="008D44EF" w:rsidP="008D44EF">
            <w:pPr>
              <w:autoSpaceDE w:val="0"/>
              <w:autoSpaceDN w:val="0"/>
              <w:adjustRightInd w:val="0"/>
              <w:rPr>
                <w:rFonts w:ascii="Arial" w:hAnsi="Arial" w:cs="Arial"/>
                <w:color w:val="000000"/>
                <w:sz w:val="23"/>
                <w:szCs w:val="23"/>
              </w:rPr>
            </w:pPr>
          </w:p>
          <w:p w:rsid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tc>
        <w:tc>
          <w:tcPr>
            <w:tcW w:w="1802" w:type="dxa"/>
          </w:tcPr>
          <w:p w:rsidR="008D44EF" w:rsidRPr="008D44EF" w:rsidRDefault="008D44EF" w:rsidP="008D44EF">
            <w:pPr>
              <w:autoSpaceDE w:val="0"/>
              <w:autoSpaceDN w:val="0"/>
              <w:adjustRightInd w:val="0"/>
              <w:rPr>
                <w:rFonts w:ascii="Arial" w:hAnsi="Arial" w:cs="Arial"/>
                <w:color w:val="000000"/>
                <w:sz w:val="23"/>
                <w:szCs w:val="23"/>
              </w:rPr>
            </w:pPr>
          </w:p>
        </w:tc>
      </w:tr>
      <w:tr w:rsidR="008D44EF" w:rsidRPr="008D44EF" w:rsidTr="008D44EF">
        <w:tc>
          <w:tcPr>
            <w:tcW w:w="1802" w:type="dxa"/>
          </w:tcPr>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p w:rsidR="008D44EF" w:rsidRPr="008D44EF" w:rsidRDefault="008D44EF" w:rsidP="008D44EF">
            <w:pPr>
              <w:autoSpaceDE w:val="0"/>
              <w:autoSpaceDN w:val="0"/>
              <w:adjustRightInd w:val="0"/>
              <w:rPr>
                <w:rFonts w:ascii="Arial" w:hAnsi="Arial" w:cs="Arial"/>
                <w:color w:val="000000"/>
                <w:sz w:val="23"/>
                <w:szCs w:val="23"/>
              </w:rPr>
            </w:pPr>
          </w:p>
        </w:tc>
        <w:tc>
          <w:tcPr>
            <w:tcW w:w="1802" w:type="dxa"/>
          </w:tcPr>
          <w:p w:rsidR="008D44EF" w:rsidRPr="008D44EF" w:rsidRDefault="008D44EF" w:rsidP="008D44EF">
            <w:pPr>
              <w:autoSpaceDE w:val="0"/>
              <w:autoSpaceDN w:val="0"/>
              <w:adjustRightInd w:val="0"/>
              <w:rPr>
                <w:rFonts w:ascii="Arial" w:hAnsi="Arial" w:cs="Arial"/>
                <w:color w:val="000000"/>
                <w:sz w:val="23"/>
                <w:szCs w:val="23"/>
              </w:rPr>
            </w:pPr>
          </w:p>
        </w:tc>
      </w:tr>
    </w:tbl>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 w:rsidR="008D44EF" w:rsidRDefault="008D44EF" w:rsidP="008D44EF">
      <w:pPr>
        <w:sectPr w:rsidR="008D44EF" w:rsidSect="008D44EF">
          <w:pgSz w:w="11906" w:h="16838"/>
          <w:pgMar w:top="1417" w:right="1417" w:bottom="1417" w:left="1417" w:header="708" w:footer="708" w:gutter="0"/>
          <w:cols w:num="2" w:space="708"/>
          <w:docGrid w:linePitch="360"/>
        </w:sectPr>
      </w:pPr>
    </w:p>
    <w:p w:rsidR="008D44EF" w:rsidRDefault="008D44EF" w:rsidP="008D44EF"/>
    <w:sectPr w:rsidR="008D44EF" w:rsidSect="008D44E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955C3"/>
    <w:multiLevelType w:val="hybridMultilevel"/>
    <w:tmpl w:val="D578E39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EF"/>
    <w:rsid w:val="0051686F"/>
    <w:rsid w:val="0064055E"/>
    <w:rsid w:val="008D44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7637"/>
  <w15:chartTrackingRefBased/>
  <w15:docId w15:val="{7B60D4A5-80ED-468D-AECF-F147BB80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8D44EF"/>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8D44EF"/>
    <w:pPr>
      <w:ind w:left="720"/>
      <w:contextualSpacing/>
    </w:pPr>
  </w:style>
  <w:style w:type="character" w:styleId="Hiperpovezava">
    <w:name w:val="Hyperlink"/>
    <w:basedOn w:val="Privzetapisavaodstavka"/>
    <w:uiPriority w:val="99"/>
    <w:semiHidden/>
    <w:unhideWhenUsed/>
    <w:rsid w:val="008D44EF"/>
    <w:rPr>
      <w:color w:val="0000FF"/>
      <w:u w:val="single"/>
    </w:rPr>
  </w:style>
  <w:style w:type="table" w:styleId="Tabelamrea">
    <w:name w:val="Table Grid"/>
    <w:basedOn w:val="Navadnatabela"/>
    <w:uiPriority w:val="39"/>
    <w:rsid w:val="008D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lilibi.si/solska-ulica/glasbena-umetnost/pesmic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80</Words>
  <Characters>458</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2020-03-21T16:15:00Z</dcterms:created>
  <dcterms:modified xsi:type="dcterms:W3CDTF">2020-03-21T16:30:00Z</dcterms:modified>
</cp:coreProperties>
</file>