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F2" w:rsidRPr="001F01F2" w:rsidRDefault="001F01F2" w:rsidP="001F01F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130</w:t>
      </w:r>
    </w:p>
    <w:p w:rsidR="001F01F2" w:rsidRDefault="001F01F2" w:rsidP="001F0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eyes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nothing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like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Coral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is far more red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than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lips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’ red;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If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snow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be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white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breasts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dun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If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hairs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be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wires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black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wires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grow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on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head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 xml:space="preserve">I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have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seen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damask’d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red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white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,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 xml:space="preserve">But no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such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 in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cheeks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in some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perfumes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is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there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more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delight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Than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in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breath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from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reeks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 xml:space="preserve">I love to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hear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speak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yet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well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 know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music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hath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 far more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pleasing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sound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 xml:space="preserve">I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grant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 never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saw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goddess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go;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when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she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walks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treads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on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ground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: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>   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yet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heaven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I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think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love as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rare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br/>
        <w:t xml:space="preserve">   As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any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she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belied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with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false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compare</w:t>
      </w:r>
      <w:proofErr w:type="spellEnd"/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 </w:t>
      </w:r>
    </w:p>
    <w:p w:rsidR="003B53B3" w:rsidRDefault="003B53B3" w:rsidP="001F0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</w:p>
    <w:p w:rsidR="003B53B3" w:rsidRPr="001F01F2" w:rsidRDefault="003B53B3" w:rsidP="001F0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</w:p>
    <w:p w:rsid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1F01F2" w:rsidRDefault="003B53B3" w:rsidP="001F01F2">
      <w:pPr>
        <w:spacing w:after="0" w:line="240" w:lineRule="auto"/>
        <w:textAlignment w:val="baseline"/>
        <w:outlineLvl w:val="2"/>
      </w:pPr>
      <w:hyperlink r:id="rId4" w:history="1">
        <w:r>
          <w:rPr>
            <w:rStyle w:val="Hiperpovezava"/>
          </w:rPr>
          <w:t>https://www.youtube.com/watch?v=xP06F0yynic</w:t>
        </w:r>
      </w:hyperlink>
    </w:p>
    <w:p w:rsidR="003B53B3" w:rsidRDefault="003B53B3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bookmarkStart w:id="0" w:name="_GoBack"/>
      <w:bookmarkEnd w:id="0"/>
    </w:p>
    <w:p w:rsid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1F01F2" w:rsidRP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Summary</w:t>
      </w:r>
      <w:proofErr w:type="spellEnd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: </w:t>
      </w:r>
      <w:proofErr w:type="spellStart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130</w:t>
      </w:r>
    </w:p>
    <w:p w:rsidR="00272F0C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compares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speaker’s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lover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to a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number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other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beauties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never in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lover’s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favor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272F0C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eyes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nothing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,”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lips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red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coral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white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snow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breasts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dun-colored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hairs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black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wires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head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second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quatrain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speaker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says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separated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color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damasked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”)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into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red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white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cheeks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says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reeks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”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delightful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perfume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third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quatrain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admits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though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loves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voice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music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far more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pleasing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sound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,”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though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never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goddess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unlike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goddesses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walks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ground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272F0C" w:rsidRDefault="00272F0C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F01F2" w:rsidRPr="001F01F2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couplet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however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speaker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declares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, 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heav’n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,” </w:t>
      </w:r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he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thinks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his love as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rare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valuable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“As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belied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false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”—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false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comparisons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invoked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describe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loved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one’s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beauty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F01F2" w:rsidRP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1F01F2" w:rsidRP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1F01F2" w:rsidRP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72F0C" w:rsidRPr="00272F0C" w:rsidRDefault="00272F0C" w:rsidP="00272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130 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poet's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pragmatic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tribute to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uncomely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mistress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commonly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referred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as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dark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lady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because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dun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complexion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dark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lady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who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ultimately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betrays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poet,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appears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127 to 154.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130 is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clearly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a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parody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conventional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love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made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popular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Petrarch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particular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made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popular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England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Sidney's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use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Petrarchan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form in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epic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poem 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Astrophel</w:t>
      </w:r>
      <w:proofErr w:type="spellEnd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Stella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 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If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you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compare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stanzas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Astrophel</w:t>
      </w:r>
      <w:proofErr w:type="spellEnd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Stella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130,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you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will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see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exactly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what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elements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conventional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love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Shakespeare is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light-heartedly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mocking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.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130,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is no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use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grandiose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metaphor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allusion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; he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does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not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compare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love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Venus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is no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evocation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Morpheus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etc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ordinary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beauty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humanity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lover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are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important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Shakespeare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this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deliberately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uses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typical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love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poetry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metaphors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against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themselves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 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  <w:t xml:space="preserve">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Sidney's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work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for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example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features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poet's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lover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are as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beautiful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at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times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more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beautiful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than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finest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pearls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diamonds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rubies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silk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130,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references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such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objects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perfection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are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indeed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present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but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are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illustrate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that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lover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is not as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beautiful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-- a total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rejection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Petrarch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form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content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Shakespeare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utilizes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new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structure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through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which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straightforward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theme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lover's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simplicity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be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developed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three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quatrains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neatly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concluded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in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couplet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 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Thus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Shakespeare 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using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techniques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available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including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structure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itself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enhance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parody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traditional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Petrarchan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typified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Sidney's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work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But </w:t>
      </w:r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Shakespeare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ends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sonnet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by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proclaiming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his love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for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his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mistress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despite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her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lack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adornment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so he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lang w:eastAsia="sl-SI"/>
        </w:rPr>
        <w:t>does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finally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embrace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fundamental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theme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in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Petrarch's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sonnets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: </w:t>
      </w:r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total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>consuming</w:t>
      </w:r>
      <w:proofErr w:type="spellEnd"/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t xml:space="preserve"> love. </w:t>
      </w:r>
      <w:r w:rsidRPr="00272F0C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sl-SI"/>
        </w:rPr>
        <w:br/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  <w:t xml:space="preserve">One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note: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Elizabethan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readers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Shakespeare's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comparison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hair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'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wires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'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would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refer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to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finely-spun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gold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threads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woven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into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fancy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hair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nets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.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Many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poets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time used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this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term as a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benchmark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of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beauty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including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Spenser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:</w:t>
      </w:r>
    </w:p>
    <w:p w:rsidR="00272F0C" w:rsidRPr="00272F0C" w:rsidRDefault="00272F0C" w:rsidP="00272F0C">
      <w:pPr>
        <w:spacing w:after="100" w:line="240" w:lineRule="auto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Some angel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she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had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loose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yellow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locks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like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golden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wire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lastRenderedPageBreak/>
        <w:t>Sprinkled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with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pearl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pearling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flowers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atween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  <w:t xml:space="preserve">Do like a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golden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mantle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her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attire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br/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being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crowned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with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a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garland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green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 (</w:t>
      </w:r>
      <w:proofErr w:type="spellStart"/>
      <w:r w:rsidRPr="00272F0C">
        <w:rPr>
          <w:rFonts w:ascii="Arial" w:eastAsia="Times New Roman" w:hAnsi="Arial" w:cs="Arial"/>
          <w:i/>
          <w:iCs/>
          <w:color w:val="000000"/>
          <w:sz w:val="27"/>
          <w:szCs w:val="27"/>
          <w:lang w:eastAsia="sl-SI"/>
        </w:rPr>
        <w:t>Epithal</w:t>
      </w:r>
      <w:proofErr w:type="spellEnd"/>
      <w:r w:rsidRPr="00272F0C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).</w:t>
      </w:r>
    </w:p>
    <w:p w:rsidR="00272F0C" w:rsidRDefault="00272F0C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1F01F2" w:rsidRPr="001F01F2" w:rsidRDefault="001F01F2" w:rsidP="001F01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Commentary</w:t>
      </w:r>
      <w:proofErr w:type="spellEnd"/>
    </w:p>
    <w:p w:rsidR="001F01F2" w:rsidRPr="001F01F2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one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Shakespeare’s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most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famous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plays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elaborate joke on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conventions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poetry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common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Shakespeare’s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day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 is so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well-conceived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joke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remains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funny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today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Most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sequences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Elizabethan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England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modeled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after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famous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sequence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written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series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poems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idealized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idolized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named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Laura.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praises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beauty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worth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perfection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using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extraordinary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variety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metaphors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based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largely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natural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beauties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Shakespeare’s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day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metaphors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already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become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cliche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(as,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indeed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still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today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still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accepted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technique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writing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poetry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result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poems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tended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make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highly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idealizing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comparisons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between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nature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lover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taken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literally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completely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ridiculous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eyes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lips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red as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coral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cheeks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breasts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white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snow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voice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music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goddess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F01F2" w:rsidRPr="001F01F2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many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ways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Shakespeare’s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subvert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reverse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conventions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sequence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idealizing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poems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instance,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written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 to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perfect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woman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admittedly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imperfect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man,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poems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dark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lady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anything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idealizing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(“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is as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fever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longing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still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/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longer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nurseth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disease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” 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hardly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conceit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.)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1F01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130</w:t>
      </w:r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mocks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typical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Petrarchan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metaphors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presenting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speaker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who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seems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take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them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at face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value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somewhat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bemusedly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decides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tell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truth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eyes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That’s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strange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eyes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aren’t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smells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perfume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reeks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perfume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couplet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speaker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shows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full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intent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insist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love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does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need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conceits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order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be real;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women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not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need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look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flowers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order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be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beautiful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F01F2" w:rsidRPr="001F01F2" w:rsidRDefault="001F01F2" w:rsidP="001F01F2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rhetorical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structure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Sonnet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1F01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130</w:t>
      </w:r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important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effect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first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quatrain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speaker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spends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one line on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each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comparison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between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something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else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sun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coral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snow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wires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positive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whole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poem some part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1F01F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sl-SI"/>
        </w:rPr>
        <w:t>is</w:t>
      </w:r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like. In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second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third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quatrains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he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expands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descriptions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occupy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two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lines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each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so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roses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cheeks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perfume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breath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music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voice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goddess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mistress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each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receive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pair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unrhymed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lines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creates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effect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expanding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developing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argument,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neatly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prevents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poem—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does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after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rely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a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single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kind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joke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its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first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twelve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lines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—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becoming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stagnant</w:t>
      </w:r>
      <w:proofErr w:type="spellEnd"/>
      <w:r w:rsidRPr="001F01F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BB1126" w:rsidRPr="001F01F2" w:rsidRDefault="00BB1126">
      <w:pPr>
        <w:rPr>
          <w:rFonts w:ascii="Times New Roman" w:hAnsi="Times New Roman" w:cs="Times New Roman"/>
          <w:sz w:val="24"/>
          <w:szCs w:val="24"/>
        </w:rPr>
      </w:pPr>
    </w:p>
    <w:sectPr w:rsidR="00BB1126" w:rsidRPr="001F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F2"/>
    <w:rsid w:val="000D1AAD"/>
    <w:rsid w:val="001F01F2"/>
    <w:rsid w:val="00272F0C"/>
    <w:rsid w:val="003B53B3"/>
    <w:rsid w:val="009627A5"/>
    <w:rsid w:val="00BB1126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6F66"/>
  <w15:chartTrackingRefBased/>
  <w15:docId w15:val="{FF206976-6EE9-431F-B4DA-7088F021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B5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94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P06F0yyni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2019-05-09T08:29:00Z</dcterms:created>
  <dcterms:modified xsi:type="dcterms:W3CDTF">2019-05-09T14:45:00Z</dcterms:modified>
</cp:coreProperties>
</file>