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15" w:rsidRPr="00CE1239" w:rsidRDefault="004E6315">
      <w:pPr>
        <w:rPr>
          <w:rFonts w:cstheme="minorHAnsi"/>
        </w:rPr>
      </w:pPr>
    </w:p>
    <w:p w:rsidR="00C5096E" w:rsidRPr="00CE1239" w:rsidRDefault="00C5096E" w:rsidP="00D51319">
      <w:pPr>
        <w:pStyle w:val="Navadensplet"/>
        <w:shd w:val="clear" w:color="auto" w:fill="FFFFFF"/>
        <w:spacing w:before="0" w:beforeAutospacing="0" w:after="0" w:afterAutospacing="0"/>
        <w:jc w:val="center"/>
        <w:textAlignment w:val="baseline"/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E1239"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  <w:t>»Krepitev kompetence podjetnosti in spodbujanje prožnega</w:t>
      </w:r>
      <w:r w:rsidRPr="00CE1239">
        <w:rPr>
          <w:rFonts w:asciiTheme="minorHAnsi" w:hAnsiTheme="minorHAnsi" w:cstheme="minorHAnsi"/>
          <w:sz w:val="22"/>
          <w:szCs w:val="22"/>
        </w:rPr>
        <w:br/>
      </w:r>
      <w:r w:rsidRPr="00CE1239"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  <w:t>prehajanja med izobraževanjem in okoljem v osnovnih šolah«</w:t>
      </w:r>
    </w:p>
    <w:p w:rsidR="00D51319" w:rsidRPr="00CE1239" w:rsidRDefault="00D51319" w:rsidP="00D51319">
      <w:pPr>
        <w:pStyle w:val="Navadensplet"/>
        <w:shd w:val="clear" w:color="auto" w:fill="FFFFFF"/>
        <w:spacing w:before="0" w:beforeAutospacing="0" w:after="0" w:afterAutospacing="0"/>
        <w:jc w:val="center"/>
        <w:textAlignment w:val="baseline"/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D51319" w:rsidRDefault="00D51319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:rsidR="00C5096E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</w:rPr>
        <w:drawing>
          <wp:inline distT="0" distB="0" distL="0" distR="0">
            <wp:extent cx="857250" cy="1143000"/>
            <wp:effectExtent l="0" t="0" r="0" b="0"/>
            <wp:docPr id="4" name="Slika 4" descr="http://osig.splet.arnes.si/files/2017/10/zzss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ig.splet.arnes.si/files/2017/10/zzss_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noProof/>
          <w:color w:val="666666"/>
          <w:sz w:val="21"/>
          <w:szCs w:val="21"/>
        </w:rPr>
        <w:drawing>
          <wp:inline distT="0" distB="0" distL="0" distR="0">
            <wp:extent cx="2381250" cy="1143000"/>
            <wp:effectExtent l="0" t="0" r="0" b="0"/>
            <wp:docPr id="3" name="Slika 3" descr="http://osig.splet.arnes.si/files/2017/10/mss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sig.splet.arnes.si/files/2017/10/mss_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Fonts w:ascii="Arial" w:hAnsi="Arial" w:cs="Arial"/>
          <w:noProof/>
          <w:color w:val="666666"/>
          <w:sz w:val="21"/>
          <w:szCs w:val="21"/>
        </w:rPr>
        <w:drawing>
          <wp:inline distT="0" distB="0" distL="0" distR="0">
            <wp:extent cx="2381250" cy="1143000"/>
            <wp:effectExtent l="0" t="0" r="0" b="0"/>
            <wp:docPr id="2" name="Slika 2" descr="http://osig.splet.arnes.si/files/2017/10/eu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sig.splet.arnes.si/files/2017/10/eu_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96E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C5096E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C5096E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C5096E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:rsidR="00C5096E" w:rsidRPr="00CE1239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Fonts w:asciiTheme="minorHAnsi" w:hAnsiTheme="minorHAnsi" w:cstheme="minorHAnsi"/>
          <w:sz w:val="22"/>
          <w:szCs w:val="22"/>
        </w:rPr>
        <w:t>S šolskim letom 2018/2019</w:t>
      </w:r>
      <w:r w:rsidRPr="00CE1239">
        <w:rPr>
          <w:rFonts w:asciiTheme="minorHAnsi" w:hAnsiTheme="minorHAnsi" w:cstheme="minorHAnsi"/>
          <w:sz w:val="22"/>
          <w:szCs w:val="22"/>
        </w:rPr>
        <w:t xml:space="preserve"> smo kot </w:t>
      </w:r>
      <w:r w:rsidRPr="00CE1239">
        <w:rPr>
          <w:rFonts w:asciiTheme="minorHAnsi" w:hAnsiTheme="minorHAnsi" w:cstheme="minorHAnsi"/>
          <w:sz w:val="22"/>
          <w:szCs w:val="22"/>
        </w:rPr>
        <w:t>implementacijska</w:t>
      </w:r>
      <w:r w:rsidRPr="00CE1239">
        <w:rPr>
          <w:rFonts w:asciiTheme="minorHAnsi" w:hAnsiTheme="minorHAnsi" w:cstheme="minorHAnsi"/>
          <w:sz w:val="22"/>
          <w:szCs w:val="22"/>
        </w:rPr>
        <w:t xml:space="preserve"> osnovna šola vstopili v projekt KREPITEV KOMPETEN</w:t>
      </w:r>
      <w:r w:rsidR="00131507" w:rsidRPr="00CE1239">
        <w:rPr>
          <w:rFonts w:asciiTheme="minorHAnsi" w:hAnsiTheme="minorHAnsi" w:cstheme="minorHAnsi"/>
          <w:sz w:val="22"/>
          <w:szCs w:val="22"/>
        </w:rPr>
        <w:t xml:space="preserve">CE SAMOSTOJNOSTI IN PODJETNOSTI- POGUM. </w:t>
      </w:r>
    </w:p>
    <w:p w:rsidR="00C5096E" w:rsidRPr="00CE1239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51319" w:rsidRPr="00CE1239" w:rsidRDefault="00D51319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51319" w:rsidRPr="00CE1239" w:rsidRDefault="00D51319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E1239">
        <w:rPr>
          <w:rFonts w:asciiTheme="minorHAnsi" w:hAnsiTheme="minorHAnsi" w:cstheme="minorHAnsi"/>
          <w:b/>
          <w:sz w:val="22"/>
          <w:szCs w:val="22"/>
        </w:rPr>
        <w:t>Namen projekta</w:t>
      </w:r>
    </w:p>
    <w:p w:rsidR="00C5096E" w:rsidRPr="00CE1239" w:rsidRDefault="00D51319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Fonts w:asciiTheme="minorHAnsi" w:hAnsiTheme="minorHAnsi" w:cstheme="minorHAnsi"/>
          <w:sz w:val="22"/>
          <w:szCs w:val="22"/>
        </w:rPr>
        <w:t>Namen projekta POGUM (PO-</w:t>
      </w:r>
      <w:proofErr w:type="spellStart"/>
      <w:r w:rsidRPr="00CE1239">
        <w:rPr>
          <w:rFonts w:asciiTheme="minorHAnsi" w:hAnsiTheme="minorHAnsi" w:cstheme="minorHAnsi"/>
          <w:sz w:val="22"/>
          <w:szCs w:val="22"/>
        </w:rPr>
        <w:t>djetnost</w:t>
      </w:r>
      <w:proofErr w:type="spellEnd"/>
      <w:r w:rsidRPr="00CE1239">
        <w:rPr>
          <w:rFonts w:asciiTheme="minorHAnsi" w:hAnsiTheme="minorHAnsi" w:cstheme="minorHAnsi"/>
          <w:sz w:val="22"/>
          <w:szCs w:val="22"/>
        </w:rPr>
        <w:t xml:space="preserve">, Gradnik za-Upanja Mladih), ki pomeni »Krepitev kompetence podjetnosti in spodbujanje prožnega prehajanja med izobraževanjem in okoljem v osnovnih šolah«, </w:t>
      </w:r>
      <w:r w:rsidR="00C5096E" w:rsidRPr="00CE1239">
        <w:rPr>
          <w:rFonts w:asciiTheme="minorHAnsi" w:hAnsiTheme="minorHAnsi" w:cstheme="minorHAnsi"/>
          <w:sz w:val="22"/>
          <w:szCs w:val="22"/>
        </w:rPr>
        <w:t>je razvoj didaktičnih pristopov in strategij ter podpornega okolja in s tem modela spodbujanja podjetnosti v osnovnih šolah, usmerjenega v izvajanje odprtega in prožnega prehajanja med izobraževanjem in okoljem:</w:t>
      </w:r>
    </w:p>
    <w:p w:rsidR="00C5096E" w:rsidRPr="00CE1239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Fonts w:asciiTheme="minorHAnsi" w:hAnsiTheme="minorHAnsi" w:cstheme="minorHAnsi"/>
          <w:sz w:val="22"/>
          <w:szCs w:val="22"/>
        </w:rPr>
        <w:t>–       v okviru modela </w:t>
      </w:r>
      <w:r w:rsidRPr="00CE1239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  <w:t>pridobivanje izkušenj za večanje možnosti zaposljivosti</w:t>
      </w:r>
      <w:r w:rsidRPr="00CE1239">
        <w:rPr>
          <w:rFonts w:asciiTheme="minorHAnsi" w:hAnsiTheme="minorHAnsi" w:cstheme="minorHAnsi"/>
          <w:sz w:val="22"/>
          <w:szCs w:val="22"/>
        </w:rPr>
        <w:t>,</w:t>
      </w:r>
    </w:p>
    <w:p w:rsidR="00C5096E" w:rsidRPr="00CE1239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Fonts w:asciiTheme="minorHAnsi" w:hAnsiTheme="minorHAnsi" w:cstheme="minorHAnsi"/>
          <w:sz w:val="22"/>
          <w:szCs w:val="22"/>
        </w:rPr>
        <w:t>–       predvsem pa </w:t>
      </w:r>
      <w:r w:rsidRPr="00CE1239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  <w:t>razvoj podjetnosti in ustvarjalnosti, uresničevanje konkretnih projektov </w:t>
      </w:r>
      <w:r w:rsidRPr="00CE1239">
        <w:rPr>
          <w:rFonts w:asciiTheme="minorHAnsi" w:hAnsiTheme="minorHAnsi" w:cstheme="minorHAnsi"/>
          <w:sz w:val="22"/>
          <w:szCs w:val="22"/>
        </w:rPr>
        <w:t>ob partnerskem sodelovanju s šolo in okoljem, z raziskovalnim sektorjem, s socialnimi partnerji in z nevladnimi organizacijami,</w:t>
      </w:r>
    </w:p>
    <w:p w:rsidR="00C5096E" w:rsidRPr="00CE1239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Fonts w:asciiTheme="minorHAnsi" w:hAnsiTheme="minorHAnsi" w:cstheme="minorHAnsi"/>
          <w:sz w:val="22"/>
          <w:szCs w:val="22"/>
        </w:rPr>
        <w:t>–       </w:t>
      </w:r>
      <w:r w:rsidRPr="00CE1239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  <w:t>razvojni model vključuje</w:t>
      </w:r>
      <w:r w:rsidRPr="00CE1239">
        <w:rPr>
          <w:rFonts w:asciiTheme="minorHAnsi" w:hAnsiTheme="minorHAnsi" w:cstheme="minorHAnsi"/>
          <w:sz w:val="22"/>
          <w:szCs w:val="22"/>
        </w:rPr>
        <w:t> razvoj </w:t>
      </w:r>
      <w:r w:rsidRPr="00CE1239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  <w:t>novih pedagoških strategij in oblik dela,</w:t>
      </w:r>
      <w:r w:rsidRPr="00CE1239">
        <w:rPr>
          <w:rFonts w:asciiTheme="minorHAnsi" w:hAnsiTheme="minorHAnsi" w:cstheme="minorHAnsi"/>
          <w:sz w:val="22"/>
          <w:szCs w:val="22"/>
        </w:rPr>
        <w:t> v okviru katerih bodo strokovni delavci izvajali dejavnosti, ki prispevajo k </w:t>
      </w:r>
      <w:r w:rsidRPr="00CE1239">
        <w:rPr>
          <w:rFonts w:asciiTheme="minorHAnsi" w:hAnsiTheme="minorHAnsi" w:cstheme="minorHAnsi"/>
          <w:sz w:val="22"/>
          <w:szCs w:val="22"/>
          <w:u w:val="single"/>
          <w:bdr w:val="none" w:sz="0" w:space="0" w:color="auto" w:frame="1"/>
        </w:rPr>
        <w:t>razvoju ključnih kompetenc </w:t>
      </w:r>
      <w:r w:rsidRPr="00CE1239">
        <w:rPr>
          <w:rFonts w:asciiTheme="minorHAnsi" w:hAnsiTheme="minorHAnsi" w:cstheme="minorHAnsi"/>
          <w:sz w:val="22"/>
          <w:szCs w:val="22"/>
        </w:rPr>
        <w:t>skladno s Priporočili Evropskega parlamenta in Sveta z dne 18. decembra 2006 o ključnih kompetencah za vseživljenjsko učenje (2006/962/ES) (UL L 394/10 z dne 30. 12. 2006), ter Sklepi Sveta o podjetnosti v izobraževanju in usposabljanju, št. 14402/14 ter EROP.</w:t>
      </w:r>
    </w:p>
    <w:p w:rsidR="00D51319" w:rsidRPr="00CE1239" w:rsidRDefault="00D51319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51319" w:rsidRPr="00CE1239" w:rsidRDefault="00D51319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Fonts w:asciiTheme="minorHAnsi" w:hAnsiTheme="minorHAnsi" w:cstheme="minorHAnsi"/>
          <w:sz w:val="22"/>
          <w:szCs w:val="22"/>
        </w:rPr>
        <w:t>Ključni cilji projekta so:</w:t>
      </w:r>
    </w:p>
    <w:p w:rsidR="00D51319" w:rsidRPr="00CE1239" w:rsidRDefault="00D51319" w:rsidP="00D5131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Fonts w:asciiTheme="minorHAnsi" w:hAnsiTheme="minorHAnsi" w:cstheme="minorHAnsi"/>
          <w:sz w:val="22"/>
          <w:szCs w:val="22"/>
        </w:rPr>
        <w:t>Razviti, preizkušati, spremljati, evalvirati in implementirati celovite modele podjetnosti v osnovni šoli in tako omogočiti prožno prehajanje med izobraževanjem in okoljem (bolje povezovati šolsko okolje z različnimi deležniki v okolju), da bi kultura podjetnosti postala del kulture okolja,</w:t>
      </w:r>
    </w:p>
    <w:p w:rsidR="00D51319" w:rsidRPr="00CE1239" w:rsidRDefault="00D51319" w:rsidP="00D5131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Fonts w:asciiTheme="minorHAnsi" w:hAnsiTheme="minorHAnsi" w:cstheme="minorHAnsi"/>
          <w:sz w:val="22"/>
          <w:szCs w:val="22"/>
        </w:rPr>
        <w:t>Mlade naučiti, da bodo delovali proaktivno in samoiniciativno z namenom, da bodo prenašali znanje izven šolskega okolja in se tako uspešno učili karierne orientacije,</w:t>
      </w:r>
    </w:p>
    <w:p w:rsidR="00D51319" w:rsidRPr="00CE1239" w:rsidRDefault="00D51319" w:rsidP="00D51319">
      <w:pPr>
        <w:pStyle w:val="Navadensplet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Fonts w:asciiTheme="minorHAnsi" w:hAnsiTheme="minorHAnsi" w:cstheme="minorHAnsi"/>
          <w:sz w:val="22"/>
          <w:szCs w:val="22"/>
        </w:rPr>
        <w:t>Opolnomočiti šolajoče (učence v osnovni šoli) in strokovne delavce (učitelje, svetovalne delavce</w:t>
      </w:r>
      <w:r w:rsidR="00131507" w:rsidRPr="00CE1239">
        <w:rPr>
          <w:rFonts w:asciiTheme="minorHAnsi" w:hAnsiTheme="minorHAnsi" w:cstheme="minorHAnsi"/>
          <w:sz w:val="22"/>
          <w:szCs w:val="22"/>
        </w:rPr>
        <w:t>, druge strokovne in vodstvene delavce in ravnatelje v OŠ) s kompetenco podjetnosti.</w:t>
      </w:r>
    </w:p>
    <w:p w:rsidR="00131507" w:rsidRPr="00CE1239" w:rsidRDefault="00131507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131507" w:rsidRPr="00CE1239" w:rsidRDefault="00131507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E1239"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Projekt, ki zajema obdobje 2017-2022, je financiran s strani Evropske unije in deluje pod okriljem ZRSŠ in MIZŠ. </w:t>
      </w:r>
    </w:p>
    <w:p w:rsidR="00131507" w:rsidRPr="00CE1239" w:rsidRDefault="00131507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131507" w:rsidRPr="00CE1239" w:rsidRDefault="00131507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C5096E" w:rsidRPr="00CE1239" w:rsidRDefault="00C5096E" w:rsidP="00C5096E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E1239">
        <w:rPr>
          <w:rStyle w:val="Krepko"/>
          <w:rFonts w:asciiTheme="minorHAnsi" w:hAnsiTheme="minorHAnsi" w:cstheme="minorHAnsi"/>
          <w:sz w:val="22"/>
          <w:szCs w:val="22"/>
          <w:bdr w:val="none" w:sz="0" w:space="0" w:color="auto" w:frame="1"/>
        </w:rPr>
        <w:t>Evropski kompetenčni okvir podjetnosti v izobraževanju</w:t>
      </w:r>
      <w:r w:rsidRPr="00CE1239">
        <w:rPr>
          <w:rFonts w:asciiTheme="minorHAnsi" w:hAnsiTheme="minorHAnsi" w:cstheme="minorHAnsi"/>
          <w:sz w:val="22"/>
          <w:szCs w:val="22"/>
        </w:rPr>
        <w:t> sestavljajo tri področja (IDEJE in PRILOŽNOSTI, VIRI, AKCIJA) s po petimi veščinami, s pomočjo katerih bomo dosegali cilje.</w:t>
      </w:r>
    </w:p>
    <w:p w:rsidR="00C5096E" w:rsidRPr="00131507" w:rsidRDefault="00C5096E"/>
    <w:p w:rsidR="00C5096E" w:rsidRDefault="00C5096E"/>
    <w:p w:rsidR="00C5096E" w:rsidRDefault="00C5096E">
      <w:bookmarkStart w:id="0" w:name="_GoBack"/>
      <w:r>
        <w:rPr>
          <w:noProof/>
          <w:lang w:eastAsia="sl-SI"/>
        </w:rPr>
        <w:lastRenderedPageBreak/>
        <w:drawing>
          <wp:inline distT="0" distB="0" distL="0" distR="0">
            <wp:extent cx="5760720" cy="3816173"/>
            <wp:effectExtent l="0" t="0" r="0" b="0"/>
            <wp:docPr id="1" name="Slika 1" descr="http://osig.splet.arnes.si/files/2017/10/pog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ig.splet.arnes.si/files/2017/10/pog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096E" w:rsidRDefault="00C5096E"/>
    <w:p w:rsidR="00C5096E" w:rsidRPr="00CE1239" w:rsidRDefault="00C5096E">
      <w:pPr>
        <w:rPr>
          <w:rFonts w:cstheme="minorHAnsi"/>
        </w:rPr>
      </w:pPr>
    </w:p>
    <w:p w:rsidR="00C5096E" w:rsidRPr="00CE1239" w:rsidRDefault="00C5096E">
      <w:pPr>
        <w:rPr>
          <w:rFonts w:cstheme="minorHAnsi"/>
        </w:rPr>
      </w:pPr>
      <w:r w:rsidRPr="00CE1239">
        <w:rPr>
          <w:rFonts w:cstheme="minorHAnsi"/>
          <w:color w:val="000000"/>
          <w:highlight w:val="lightGray"/>
          <w:shd w:val="clear" w:color="auto" w:fill="FFEBCD"/>
        </w:rPr>
        <w:t>Več o projektu si lahko preberete na povezavi: </w:t>
      </w:r>
      <w:hyperlink r:id="rId9" w:tgtFrame="_blank" w:history="1">
        <w:r w:rsidRPr="00CE1239">
          <w:rPr>
            <w:rStyle w:val="Hiperpovezava"/>
            <w:rFonts w:cstheme="minorHAnsi"/>
            <w:color w:val="000099"/>
            <w:highlight w:val="lightGray"/>
            <w:bdr w:val="none" w:sz="0" w:space="0" w:color="auto" w:frame="1"/>
            <w:shd w:val="clear" w:color="auto" w:fill="FFEBCD"/>
          </w:rPr>
          <w:t>https://www.zrss.si/objava/projekt-pogum</w:t>
        </w:r>
      </w:hyperlink>
      <w:r w:rsidRPr="00CE1239">
        <w:rPr>
          <w:rFonts w:cstheme="minorHAnsi"/>
          <w:color w:val="000000"/>
          <w:highlight w:val="lightGray"/>
          <w:shd w:val="clear" w:color="auto" w:fill="FFEBCD"/>
        </w:rPr>
        <w:t>.</w:t>
      </w:r>
    </w:p>
    <w:sectPr w:rsidR="00C5096E" w:rsidRPr="00CE1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72BE3"/>
    <w:multiLevelType w:val="hybridMultilevel"/>
    <w:tmpl w:val="E0E2BD54"/>
    <w:lvl w:ilvl="0" w:tplc="F7946F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6E"/>
    <w:rsid w:val="00131507"/>
    <w:rsid w:val="004E6315"/>
    <w:rsid w:val="00C5096E"/>
    <w:rsid w:val="00CE1239"/>
    <w:rsid w:val="00D51319"/>
    <w:rsid w:val="00E0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7153"/>
  <w15:chartTrackingRefBased/>
  <w15:docId w15:val="{425D72C0-5211-467A-8CBD-FCDE8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C5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5096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C50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rss.si/objava/projekt-pogu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2019-09-04T11:33:00Z</dcterms:created>
  <dcterms:modified xsi:type="dcterms:W3CDTF">2019-09-04T11:33:00Z</dcterms:modified>
</cp:coreProperties>
</file>