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ACE" w:rsidRDefault="00042614" w:rsidP="00E06ACE">
      <w:pPr>
        <w:rPr>
          <w:sz w:val="28"/>
        </w:rPr>
      </w:pPr>
      <w:r w:rsidRPr="00042614">
        <w:rPr>
          <w:sz w:val="28"/>
        </w:rPr>
        <w:t>5</w:t>
      </w:r>
      <w:r w:rsidR="00E06ACE" w:rsidRPr="00042614">
        <w:rPr>
          <w:sz w:val="28"/>
        </w:rPr>
        <w:t>.vaje – EMP –ŽP</w:t>
      </w:r>
    </w:p>
    <w:p w:rsidR="009F1124" w:rsidRPr="00042614" w:rsidRDefault="009F1124" w:rsidP="00E06ACE">
      <w:pPr>
        <w:rPr>
          <w:sz w:val="28"/>
        </w:rPr>
      </w:pPr>
      <w:hyperlink r:id="rId5" w:history="1">
        <w:r w:rsidRPr="00873821">
          <w:rPr>
            <w:rStyle w:val="Hiperpovezava"/>
            <w:sz w:val="28"/>
          </w:rPr>
          <w:t>https://www.delo.si/gospodarstvo/novice/zacetek-leta-je-prinesel-rast-delnic/</w:t>
        </w:r>
      </w:hyperlink>
      <w:r>
        <w:rPr>
          <w:sz w:val="28"/>
        </w:rPr>
        <w:t xml:space="preserve"> </w:t>
      </w:r>
    </w:p>
    <w:p w:rsidR="00E06ACE" w:rsidRDefault="00190E59" w:rsidP="00E06ACE">
      <w:r>
        <w:t>Trading places</w:t>
      </w:r>
    </w:p>
    <w:p w:rsidR="00E06ACE" w:rsidRDefault="00E06ACE" w:rsidP="00190E59">
      <w:pPr>
        <w:pStyle w:val="Odstavekseznama"/>
        <w:numPr>
          <w:ilvl w:val="0"/>
          <w:numId w:val="5"/>
        </w:numPr>
      </w:pPr>
      <w:r>
        <w:t>Kako se določajo cene na borzi</w:t>
      </w:r>
    </w:p>
    <w:p w:rsidR="00E06ACE" w:rsidRDefault="00190E59" w:rsidP="00190E59">
      <w:pPr>
        <w:pStyle w:val="Odstavekseznama"/>
        <w:numPr>
          <w:ilvl w:val="0"/>
          <w:numId w:val="5"/>
        </w:numPr>
      </w:pPr>
      <w:r>
        <w:t>Kateri v</w:t>
      </w:r>
      <w:r w:rsidR="00E06ACE">
        <w:t>rednostni papirji</w:t>
      </w:r>
      <w:r>
        <w:t xml:space="preserve"> so bili predstavljeni in jih opišite</w:t>
      </w:r>
    </w:p>
    <w:p w:rsidR="00190E59" w:rsidRDefault="00E06ACE" w:rsidP="00190E59">
      <w:pPr>
        <w:pStyle w:val="Odstavekseznama"/>
        <w:numPr>
          <w:ilvl w:val="0"/>
          <w:numId w:val="5"/>
        </w:numPr>
      </w:pPr>
      <w:r>
        <w:t xml:space="preserve">Mr. Dukes – </w:t>
      </w:r>
      <w:r w:rsidR="00190E59">
        <w:t xml:space="preserve">od kje </w:t>
      </w:r>
      <w:r>
        <w:t>velik zasluže</w:t>
      </w:r>
      <w:r w:rsidR="00190E59">
        <w:t>k</w:t>
      </w:r>
    </w:p>
    <w:p w:rsidR="00E06ACE" w:rsidRDefault="00190E59" w:rsidP="00190E59">
      <w:pPr>
        <w:pStyle w:val="Odstavekseznama"/>
        <w:numPr>
          <w:ilvl w:val="0"/>
          <w:numId w:val="5"/>
        </w:numPr>
      </w:pPr>
      <w:r>
        <w:t>Predstavite vlogo</w:t>
      </w:r>
      <w:r w:rsidR="00E06ACE">
        <w:t xml:space="preserve"> Mr. Bicksa</w:t>
      </w:r>
    </w:p>
    <w:p w:rsidR="00E06ACE" w:rsidRDefault="00190E59" w:rsidP="00190E59">
      <w:pPr>
        <w:pStyle w:val="Odstavekseznama"/>
        <w:numPr>
          <w:ilvl w:val="0"/>
          <w:numId w:val="5"/>
        </w:numPr>
      </w:pPr>
      <w:r>
        <w:t xml:space="preserve">Pojasnite </w:t>
      </w:r>
      <w:r w:rsidR="00E06ACE">
        <w:t>končni zaslužek Billy Raya in Louis Winthorpe III.</w:t>
      </w:r>
    </w:p>
    <w:p w:rsidR="00725C25" w:rsidRDefault="00725C25">
      <w:hyperlink r:id="rId6" w:history="1">
        <w:r w:rsidRPr="00873821">
          <w:rPr>
            <w:rStyle w:val="Hiperpovezava"/>
          </w:rPr>
          <w:t>https://www.aaii.com/investingideas/article/15643-is-danone-stock-danoy-a-good-investment</w:t>
        </w:r>
      </w:hyperlink>
      <w:r>
        <w:t xml:space="preserve"> </w:t>
      </w:r>
    </w:p>
    <w:p w:rsidR="00E06ACE" w:rsidRDefault="00E06ACE">
      <w:r>
        <w:rPr>
          <w:noProof/>
          <w:lang w:val="sl-SI" w:eastAsia="sl-SI"/>
        </w:rPr>
        <w:drawing>
          <wp:inline distT="0" distB="0" distL="0" distR="0" wp14:anchorId="7F98587A" wp14:editId="24B08E27">
            <wp:extent cx="1467135" cy="1087948"/>
            <wp:effectExtent l="0" t="0" r="0" b="0"/>
            <wp:docPr id="1" name="Slika 1" descr="Why should you  invest in:          Marie Tack            2AF1 English: Accountancy &amp; T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should you  invest in:          Marie Tack            2AF1 English: Accountancy &amp; Tax "/>
                    <pic:cNvPicPr>
                      <a:picLocks noChangeAspect="1" noChangeArrowheads="1"/>
                    </pic:cNvPicPr>
                  </pic:nvPicPr>
                  <pic:blipFill rotWithShape="1">
                    <a:blip r:embed="rId7">
                      <a:extLst>
                        <a:ext uri="{28A0092B-C50C-407E-A947-70E740481C1C}">
                          <a14:useLocalDpi xmlns:a14="http://schemas.microsoft.com/office/drawing/2010/main" val="0"/>
                        </a:ext>
                      </a:extLst>
                    </a:blip>
                    <a:srcRect l="26304" t="18757" r="24605" b="32813"/>
                    <a:stretch/>
                  </pic:blipFill>
                  <pic:spPr bwMode="auto">
                    <a:xfrm>
                      <a:off x="0" y="0"/>
                      <a:ext cx="1468656" cy="1089076"/>
                    </a:xfrm>
                    <a:prstGeom prst="rect">
                      <a:avLst/>
                    </a:prstGeom>
                    <a:noFill/>
                    <a:ln>
                      <a:noFill/>
                    </a:ln>
                    <a:extLst>
                      <a:ext uri="{53640926-AAD7-44D8-BBD7-CCE9431645EC}">
                        <a14:shadowObscured xmlns:a14="http://schemas.microsoft.com/office/drawing/2010/main"/>
                      </a:ext>
                    </a:extLst>
                  </pic:spPr>
                </pic:pic>
              </a:graphicData>
            </a:graphic>
          </wp:inline>
        </w:drawing>
      </w:r>
    </w:p>
    <w:p w:rsidR="00E06ACE" w:rsidRDefault="00E06ACE" w:rsidP="00190E59">
      <w:pPr>
        <w:pStyle w:val="Odstavekseznama"/>
        <w:numPr>
          <w:ilvl w:val="0"/>
          <w:numId w:val="2"/>
        </w:numPr>
      </w:pPr>
      <w:r>
        <w:t>Zakaj bi investirali v delnice podjetja Danone</w:t>
      </w:r>
    </w:p>
    <w:p w:rsidR="00AC3FCC" w:rsidRDefault="00B87181" w:rsidP="00AC3FCC">
      <w:hyperlink r:id="rId8" w:history="1">
        <w:r w:rsidR="00AC3FCC" w:rsidRPr="00943906">
          <w:rPr>
            <w:rStyle w:val="Hiperpovezava"/>
          </w:rPr>
          <w:t>https://www.d</w:t>
        </w:r>
        <w:r w:rsidR="00AC3FCC" w:rsidRPr="00943906">
          <w:rPr>
            <w:rStyle w:val="Hiperpovezava"/>
          </w:rPr>
          <w:t>a</w:t>
        </w:r>
        <w:r w:rsidR="00AC3FCC" w:rsidRPr="00943906">
          <w:rPr>
            <w:rStyle w:val="Hiperpovezava"/>
          </w:rPr>
          <w:t>none.com/</w:t>
        </w:r>
      </w:hyperlink>
      <w:r w:rsidR="00AC3FCC">
        <w:t xml:space="preserve"> </w:t>
      </w:r>
    </w:p>
    <w:p w:rsidR="00B87181" w:rsidRDefault="00B87181">
      <w:hyperlink r:id="rId9" w:history="1">
        <w:r w:rsidRPr="00873821">
          <w:rPr>
            <w:rStyle w:val="Hiperpovezava"/>
          </w:rPr>
          <w:t>https://money.usnews.com/investing/news/articles/2023-02-22/danone-q4-sales-beat-forecasts-and-company-eyes-profitable-growth-in-2023</w:t>
        </w:r>
      </w:hyperlink>
      <w:r>
        <w:t xml:space="preserve"> </w:t>
      </w:r>
    </w:p>
    <w:p w:rsidR="00B87181" w:rsidRDefault="00B87181">
      <w:hyperlink r:id="rId10" w:history="1">
        <w:r w:rsidRPr="00873821">
          <w:rPr>
            <w:rStyle w:val="Hiperpovezava"/>
          </w:rPr>
          <w:t>https://www.forbes.com/sites/eustaciahuen/2022/12/21/4-top-food-trends-of-2023/?sh=58077f67dd0b</w:t>
        </w:r>
      </w:hyperlink>
      <w:r>
        <w:t xml:space="preserve"> </w:t>
      </w:r>
    </w:p>
    <w:p w:rsidR="00190E59" w:rsidRDefault="00B87181">
      <w:hyperlink r:id="rId11" w:history="1">
        <w:r w:rsidRPr="00873821">
          <w:rPr>
            <w:rStyle w:val="Hiperpovezava"/>
          </w:rPr>
          <w:t>https://www.eurone</w:t>
        </w:r>
        <w:bookmarkStart w:id="0" w:name="_GoBack"/>
        <w:bookmarkEnd w:id="0"/>
        <w:r w:rsidRPr="00873821">
          <w:rPr>
            <w:rStyle w:val="Hiperpovezava"/>
          </w:rPr>
          <w:t>x</w:t>
        </w:r>
        <w:r w:rsidRPr="00873821">
          <w:rPr>
            <w:rStyle w:val="Hiperpovezava"/>
          </w:rPr>
          <w:t>t.com/en/products/equities/FR0000120644-XPAR</w:t>
        </w:r>
      </w:hyperlink>
      <w:r w:rsidR="00AC3FCC">
        <w:t xml:space="preserve"> </w:t>
      </w:r>
    </w:p>
    <w:p w:rsidR="00190E59" w:rsidRDefault="00190E59"/>
    <w:p w:rsidR="00042614" w:rsidRDefault="00042614" w:rsidP="00042614">
      <w:pPr>
        <w:pStyle w:val="Odstavekseznama"/>
        <w:numPr>
          <w:ilvl w:val="0"/>
          <w:numId w:val="2"/>
        </w:numPr>
      </w:pPr>
      <w:r>
        <w:t>Kaj pa Ljubljanske mlekarne?</w:t>
      </w:r>
    </w:p>
    <w:p w:rsidR="00042614" w:rsidRDefault="00B87181" w:rsidP="00042614">
      <w:hyperlink r:id="rId12" w:history="1">
        <w:r w:rsidR="00042614" w:rsidRPr="00943906">
          <w:rPr>
            <w:rStyle w:val="Hiperpovezava"/>
          </w:rPr>
          <w:t>https://www.l-m.si/en/</w:t>
        </w:r>
      </w:hyperlink>
      <w:r w:rsidR="00042614">
        <w:t xml:space="preserve"> </w:t>
      </w:r>
    </w:p>
    <w:p w:rsidR="00042614" w:rsidRDefault="00B87181" w:rsidP="00042614">
      <w:hyperlink r:id="rId13" w:history="1">
        <w:r w:rsidR="00042614" w:rsidRPr="00943906">
          <w:rPr>
            <w:rStyle w:val="Hiperpovezava"/>
          </w:rPr>
          <w:t>http://www.vzmd.si/novice/mediji-o-malih-delnicarjih/ljubljanske-mlekarne-stoodstotno-francoske</w:t>
        </w:r>
      </w:hyperlink>
    </w:p>
    <w:p w:rsidR="00190E59" w:rsidRDefault="00B87181">
      <w:hyperlink r:id="rId14" w:history="1">
        <w:r w:rsidR="00042614" w:rsidRPr="00943906">
          <w:rPr>
            <w:rStyle w:val="Hiperpovezava"/>
          </w:rPr>
          <w:t>https://www.lactalis-international.com/en/our-activity/</w:t>
        </w:r>
      </w:hyperlink>
      <w:r w:rsidR="00042614">
        <w:t xml:space="preserve"> </w:t>
      </w:r>
    </w:p>
    <w:p w:rsidR="00042614" w:rsidRDefault="00B87181">
      <w:hyperlink r:id="rId15" w:anchor="/effectifs" w:history="1">
        <w:r w:rsidR="00042614" w:rsidRPr="00943906">
          <w:rPr>
            <w:rStyle w:val="Hiperpovezava"/>
          </w:rPr>
          <w:t>http://www.lactalis.fr/en/the-group/key-figures/#/effectifs</w:t>
        </w:r>
      </w:hyperlink>
      <w:r w:rsidR="00042614">
        <w:t xml:space="preserve"> </w:t>
      </w:r>
    </w:p>
    <w:p w:rsidR="00F17822" w:rsidRDefault="00F17822"/>
    <w:p w:rsidR="00E06ACE" w:rsidRDefault="00C20DBD" w:rsidP="00190E59">
      <w:pPr>
        <w:pStyle w:val="Odstavekseznama"/>
        <w:numPr>
          <w:ilvl w:val="0"/>
          <w:numId w:val="2"/>
        </w:numPr>
      </w:pPr>
      <w:r>
        <w:t>Izračunajte obresti in končno vrednost kredita za nakup stroja za izdelovanje</w:t>
      </w:r>
      <w:r w:rsidR="00190E59">
        <w:t xml:space="preserve"> </w:t>
      </w:r>
      <w:r>
        <w:t xml:space="preserve">sladoleda, ki stane </w:t>
      </w:r>
      <w:r w:rsidR="00190E59">
        <w:t>9.906,40 EUR, obresti za nakup na 36 mesečnih obrokov so 3,84%.</w:t>
      </w:r>
    </w:p>
    <w:p w:rsidR="00AF2FF3" w:rsidRDefault="00AF2FF3" w:rsidP="00AF2FF3">
      <w:pPr>
        <w:pStyle w:val="Odstavekseznama"/>
        <w:numPr>
          <w:ilvl w:val="0"/>
          <w:numId w:val="2"/>
        </w:numPr>
      </w:pPr>
      <w:r>
        <w:t>Hotel Piran je kupil dve konvekcijski peči po ceni 13.407,80€ z ddv in so vzeli kredit za dobo dveh let. Obresti so znašale 7,25 %. Koliko obresti so plačali?</w:t>
      </w:r>
    </w:p>
    <w:p w:rsidR="00AF2FF3" w:rsidRDefault="00AF2FF3" w:rsidP="00AF2FF3"/>
    <w:p w:rsidR="00190E59" w:rsidRDefault="00AF2FF3" w:rsidP="00AF2FF3">
      <w:pPr>
        <w:pStyle w:val="Odstavekseznama"/>
        <w:numPr>
          <w:ilvl w:val="0"/>
          <w:numId w:val="2"/>
        </w:numPr>
      </w:pPr>
      <w:r>
        <w:t>Poiščite ugodno ceno za nakup ameriškega hladilnika za domače gospodinjstvo in izračunajte koliko vas stane nakup na 24 obrokov z obrestno mero 2,18%</w:t>
      </w:r>
    </w:p>
    <w:p w:rsidR="00190E59" w:rsidRDefault="00190E59"/>
    <w:p w:rsidR="00190E59" w:rsidRDefault="00190E59"/>
    <w:p w:rsidR="00190E59" w:rsidRDefault="00190E59"/>
    <w:tbl>
      <w:tblPr>
        <w:tblW w:w="5000" w:type="pct"/>
        <w:tblCellMar>
          <w:left w:w="0" w:type="dxa"/>
          <w:right w:w="0" w:type="dxa"/>
        </w:tblCellMar>
        <w:tblLook w:val="0000" w:firstRow="0" w:lastRow="0" w:firstColumn="0" w:lastColumn="0" w:noHBand="0" w:noVBand="0"/>
      </w:tblPr>
      <w:tblGrid>
        <w:gridCol w:w="8772"/>
        <w:gridCol w:w="300"/>
      </w:tblGrid>
      <w:tr w:rsidR="00190E59" w:rsidRPr="00612928" w:rsidTr="0087646D">
        <w:trPr>
          <w:trHeight w:val="360"/>
        </w:trPr>
        <w:tc>
          <w:tcPr>
            <w:tcW w:w="5000" w:type="pct"/>
            <w:noWrap/>
            <w:tcMar>
              <w:top w:w="0" w:type="dxa"/>
              <w:left w:w="0" w:type="dxa"/>
              <w:bottom w:w="120" w:type="dxa"/>
              <w:right w:w="60" w:type="dxa"/>
            </w:tcMar>
            <w:vAlign w:val="center"/>
          </w:tcPr>
          <w:p w:rsidR="00190E59" w:rsidRPr="00612928" w:rsidRDefault="00190E59" w:rsidP="0087646D">
            <w:pPr>
              <w:spacing w:after="0" w:line="240" w:lineRule="auto"/>
              <w:rPr>
                <w:rFonts w:ascii="Arial" w:eastAsia="Times New Roman" w:hAnsi="Arial" w:cs="Arial"/>
                <w:b/>
                <w:bCs/>
                <w:color w:val="005194"/>
                <w:lang w:val="en-GB" w:eastAsia="en-GB"/>
              </w:rPr>
            </w:pPr>
            <w:r w:rsidRPr="00612928">
              <w:rPr>
                <w:rFonts w:ascii="Arial" w:eastAsia="Times New Roman" w:hAnsi="Arial" w:cs="Arial"/>
                <w:b/>
                <w:bCs/>
                <w:color w:val="005194"/>
                <w:lang w:val="en-GB" w:eastAsia="en-GB"/>
              </w:rPr>
              <w:t xml:space="preserve">Borzni slovar izrazov </w:t>
            </w:r>
          </w:p>
        </w:tc>
        <w:tc>
          <w:tcPr>
            <w:tcW w:w="5000" w:type="pct"/>
            <w:tcMar>
              <w:top w:w="0" w:type="dxa"/>
              <w:left w:w="0" w:type="dxa"/>
              <w:bottom w:w="0" w:type="dxa"/>
              <w:right w:w="60" w:type="dxa"/>
            </w:tcMar>
            <w:vAlign w:val="center"/>
          </w:tcPr>
          <w:p w:rsidR="00190E59" w:rsidRPr="00612928" w:rsidRDefault="00190E59" w:rsidP="0087646D">
            <w:pPr>
              <w:spacing w:after="0" w:line="240" w:lineRule="auto"/>
              <w:rPr>
                <w:rFonts w:ascii="Arial" w:eastAsia="Times New Roman" w:hAnsi="Arial" w:cs="Arial"/>
                <w:color w:val="333333"/>
                <w:sz w:val="13"/>
                <w:szCs w:val="13"/>
                <w:lang w:val="en-GB" w:eastAsia="en-GB"/>
              </w:rPr>
            </w:pPr>
            <w:r>
              <w:rPr>
                <w:rFonts w:ascii="Arial" w:eastAsia="Times New Roman" w:hAnsi="Arial" w:cs="Arial"/>
                <w:b/>
                <w:bCs/>
                <w:noProof/>
                <w:color w:val="FF6600"/>
                <w:sz w:val="13"/>
                <w:szCs w:val="13"/>
                <w:lang w:val="sl-SI" w:eastAsia="sl-SI"/>
              </w:rPr>
              <w:drawing>
                <wp:inline distT="0" distB="0" distL="0" distR="0" wp14:anchorId="26DB6668" wp14:editId="49F46C50">
                  <wp:extent cx="152400" cy="152400"/>
                  <wp:effectExtent l="0" t="0" r="0" b="0"/>
                  <wp:docPr id="2" name="Slika 2" descr="Print">
                    <a:hlinkClick xmlns:a="http://schemas.openxmlformats.org/drawingml/2006/main" r:id="rId16" tooltip="Pri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190E59" w:rsidRPr="00612928" w:rsidRDefault="00190E59" w:rsidP="00190E59">
      <w:pPr>
        <w:spacing w:after="0" w:line="240" w:lineRule="auto"/>
        <w:rPr>
          <w:rFonts w:ascii="Arial" w:eastAsia="Times New Roman" w:hAnsi="Arial" w:cs="Arial"/>
          <w:vanish/>
          <w:color w:val="333333"/>
          <w:sz w:val="13"/>
          <w:szCs w:val="13"/>
          <w:lang w:val="en-GB" w:eastAsia="en-GB"/>
        </w:rPr>
      </w:pPr>
    </w:p>
    <w:tbl>
      <w:tblPr>
        <w:tblW w:w="5000" w:type="pct"/>
        <w:tblCellMar>
          <w:left w:w="0" w:type="dxa"/>
          <w:right w:w="0" w:type="dxa"/>
        </w:tblCellMar>
        <w:tblLook w:val="0000" w:firstRow="0" w:lastRow="0" w:firstColumn="0" w:lastColumn="0" w:noHBand="0" w:noVBand="0"/>
      </w:tblPr>
      <w:tblGrid>
        <w:gridCol w:w="9072"/>
      </w:tblGrid>
      <w:tr w:rsidR="00190E59" w:rsidRPr="00612928" w:rsidTr="0087646D">
        <w:tc>
          <w:tcPr>
            <w:tcW w:w="0" w:type="auto"/>
            <w:tcMar>
              <w:top w:w="0" w:type="dxa"/>
              <w:left w:w="0" w:type="dxa"/>
              <w:bottom w:w="0" w:type="dxa"/>
              <w:right w:w="60" w:type="dxa"/>
            </w:tcMar>
          </w:tcPr>
          <w:p w:rsidR="00190E59" w:rsidRPr="00612928" w:rsidRDefault="00190E59" w:rsidP="0087646D">
            <w:pPr>
              <w:spacing w:after="240" w:line="240" w:lineRule="auto"/>
              <w:rPr>
                <w:rFonts w:ascii="Times New Roman" w:eastAsia="Times New Roman" w:hAnsi="Times New Roman" w:cs="Times New Roman"/>
                <w:color w:val="333333"/>
                <w:sz w:val="20"/>
                <w:szCs w:val="20"/>
                <w:lang w:val="en-GB" w:eastAsia="en-GB"/>
              </w:rPr>
            </w:pPr>
            <w:r w:rsidRPr="00612928">
              <w:rPr>
                <w:rFonts w:ascii="Times New Roman" w:eastAsia="Times New Roman" w:hAnsi="Times New Roman" w:cs="Times New Roman"/>
                <w:b/>
                <w:bCs/>
                <w:color w:val="333333"/>
                <w:sz w:val="20"/>
                <w:szCs w:val="20"/>
                <w:lang w:val="en-GB" w:eastAsia="en-GB"/>
              </w:rPr>
              <w:t>Arbitraža</w:t>
            </w:r>
            <w:bookmarkStart w:id="1" w:name="Arbitraa"/>
            <w:r w:rsidRPr="00612928">
              <w:rPr>
                <w:rFonts w:ascii="Times New Roman" w:eastAsia="Times New Roman" w:hAnsi="Times New Roman" w:cs="Times New Roman"/>
                <w:color w:val="333333"/>
                <w:sz w:val="20"/>
                <w:szCs w:val="20"/>
                <w:lang w:val="en-GB" w:eastAsia="en-GB"/>
              </w:rPr>
              <w:t xml:space="preserve"> – do arbitraže pride, kadar so tečaji istega vrednostnega papirja na različnih trgih (ali različnih borzah) različni. Razlika v tečajih povzroči nakupe tam, kjer je določen vrednostni papir cenejši, in prodaje tam, kjer je ta dražji. Na ta način se tečaj izenači.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Borza </w:t>
            </w:r>
            <w:bookmarkStart w:id="2" w:name="Borza"/>
            <w:bookmarkEnd w:id="1"/>
            <w:r w:rsidRPr="00612928">
              <w:rPr>
                <w:rFonts w:ascii="Times New Roman" w:eastAsia="Times New Roman" w:hAnsi="Times New Roman" w:cs="Times New Roman"/>
                <w:color w:val="333333"/>
                <w:sz w:val="20"/>
                <w:szCs w:val="20"/>
                <w:lang w:val="en-GB" w:eastAsia="en-GB"/>
              </w:rPr>
              <w:t>– je organizirani trg, kjer poteka ponudba in povpraševanje po vrednostnih papirjih, kjer se trguje po določenih cenah (tečajih). Je neke vrste avkcijski trg, kjer se trguje z vrednostnimi papirji preko posebnih zastopnikov, ki so člani borze.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Borzna, tržna kapitalizacija</w:t>
            </w:r>
            <w:r w:rsidRPr="00612928">
              <w:rPr>
                <w:rFonts w:ascii="Times New Roman" w:eastAsia="Times New Roman" w:hAnsi="Times New Roman" w:cs="Times New Roman"/>
                <w:color w:val="333333"/>
                <w:sz w:val="20"/>
                <w:szCs w:val="20"/>
                <w:lang w:val="en-GB" w:eastAsia="en-GB"/>
              </w:rPr>
              <w:t xml:space="preserve"> – je način vrednotenja podjetja, pri katerem se vrednost le tega izračuna tako, da se pomnoži število izdanih delnic s trenutnim (tržnim) tečajem teh delnic.</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Borzni indeks</w:t>
            </w:r>
            <w:r w:rsidRPr="00612928">
              <w:rPr>
                <w:rFonts w:ascii="Times New Roman" w:eastAsia="Times New Roman" w:hAnsi="Times New Roman" w:cs="Times New Roman"/>
                <w:color w:val="333333"/>
                <w:sz w:val="20"/>
                <w:szCs w:val="20"/>
                <w:lang w:val="en-GB" w:eastAsia="en-GB"/>
              </w:rPr>
              <w:t xml:space="preserve"> - tehtano povprečje tečajev določenih vrednostnih papirjev. Indeks kaže na razvoj tečajev določenega trga vrednostnih papirjev v celoti, oziroma na razvoj tečajev le nekaterih skupin vrednostnih papirjev. Investitorjem služijo kot pokazatelj trenda na trgu. V Sloveniji SBI20 (slovenski borzni indeks – 15 družb), PIX (indeks investicijskih družb), IPT (indeks prostega trga), BIO (obvezniški indeks). Po svetu Dow Jones Index (New York), Deutscher Aktienindex - DAX (Frankfurt), CAC 40 (Pariz), NIKKEI (Tokio) in Financial Times Index - Footsie (London).</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Borzno naročilo </w:t>
            </w:r>
            <w:proofErr w:type="gramStart"/>
            <w:r w:rsidRPr="00612928">
              <w:rPr>
                <w:rFonts w:ascii="Times New Roman" w:eastAsia="Times New Roman" w:hAnsi="Times New Roman" w:cs="Times New Roman"/>
                <w:color w:val="333333"/>
                <w:sz w:val="20"/>
                <w:szCs w:val="20"/>
                <w:lang w:val="en-GB" w:eastAsia="en-GB"/>
              </w:rPr>
              <w:t>–  nalog</w:t>
            </w:r>
            <w:proofErr w:type="gramEnd"/>
            <w:r w:rsidRPr="00612928">
              <w:rPr>
                <w:rFonts w:ascii="Times New Roman" w:eastAsia="Times New Roman" w:hAnsi="Times New Roman" w:cs="Times New Roman"/>
                <w:color w:val="333333"/>
                <w:sz w:val="20"/>
                <w:szCs w:val="20"/>
                <w:lang w:val="en-GB" w:eastAsia="en-GB"/>
              </w:rPr>
              <w:t xml:space="preserve"> stranke borznemu posredniku, da določeni vrednostni papir proda oziroma kupi. Borzno naročilo je lahko tržno (trenutni tečaj), omejeno (minimalna ali maksimalna cena) ali s preudarkom (posrednik presodi sam).</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Blue Chips</w:t>
            </w:r>
            <w:r w:rsidRPr="00612928">
              <w:rPr>
                <w:rFonts w:ascii="Times New Roman" w:eastAsia="Times New Roman" w:hAnsi="Times New Roman" w:cs="Times New Roman"/>
                <w:color w:val="333333"/>
                <w:sz w:val="20"/>
                <w:szCs w:val="20"/>
                <w:lang w:val="en-GB" w:eastAsia="en-GB"/>
              </w:rPr>
              <w:t xml:space="preserve"> - delnice znanih in že uveljavljenih delniških družb, ki kotirajo na najpomembnejših svetovnih borzah. Izdajatelj slovi po prvovrstni kreditni sposobnosti, dobrih perspektivah gospodarske rasti in rednih izplačilih dividend.</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Brezkuponska obveznica</w:t>
            </w:r>
            <w:r w:rsidRPr="00612928">
              <w:rPr>
                <w:rFonts w:ascii="Times New Roman" w:eastAsia="Times New Roman" w:hAnsi="Times New Roman" w:cs="Times New Roman"/>
                <w:color w:val="333333"/>
                <w:sz w:val="20"/>
                <w:szCs w:val="20"/>
                <w:lang w:val="en-GB" w:eastAsia="en-GB"/>
              </w:rPr>
              <w:t xml:space="preserve"> - posebna vrsta diskontne obveznice, je brez kuponske pole in ne prinaša kuponskih obresti. Ves donos pri tej obveznici je razlika med nižjim (diskontiranim) tečajem ob izdaji in nominalno vrednostjo, ki se v celoti izplača ob dospelosti obveznice.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Datum poravnave </w:t>
            </w:r>
            <w:bookmarkStart w:id="3" w:name="Datumporavnave"/>
            <w:bookmarkEnd w:id="2"/>
            <w:r w:rsidRPr="00612928">
              <w:rPr>
                <w:rFonts w:ascii="Times New Roman" w:eastAsia="Times New Roman" w:hAnsi="Times New Roman" w:cs="Times New Roman"/>
                <w:color w:val="333333"/>
                <w:sz w:val="20"/>
                <w:szCs w:val="20"/>
                <w:lang w:val="en-GB" w:eastAsia="en-GB"/>
              </w:rPr>
              <w:t>- dan, ko morajo biti sklenjeni posli tudi plačani. Datum poravnave je na različnih borzah različno oddaljen od dneva sklenitve posla. Na Ljubljanski borzi se posli plačujejo dva dni po sklenitvi (T + 2).</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Deli delnice</w:t>
            </w:r>
            <w:r w:rsidRPr="00612928">
              <w:rPr>
                <w:rFonts w:ascii="Times New Roman" w:eastAsia="Times New Roman" w:hAnsi="Times New Roman" w:cs="Times New Roman"/>
                <w:color w:val="333333"/>
                <w:sz w:val="20"/>
                <w:szCs w:val="20"/>
                <w:lang w:val="en-GB" w:eastAsia="en-GB"/>
              </w:rPr>
              <w:t xml:space="preserve"> - formalno je delnica kot pisna listina sestavljena iz plašča delnice in iz kuponske pole. Plašč daje delničarju pravice, kuponska pola pa služi za izplačilo dividend. Talon je </w:t>
            </w:r>
            <w:smartTag w:uri="urn:schemas-microsoft-com:office:smarttags" w:element="State">
              <w:smartTag w:uri="urn:schemas-microsoft-com:office:smarttags" w:element="place">
                <w:r w:rsidRPr="00612928">
                  <w:rPr>
                    <w:rFonts w:ascii="Times New Roman" w:eastAsia="Times New Roman" w:hAnsi="Times New Roman" w:cs="Times New Roman"/>
                    <w:color w:val="333333"/>
                    <w:sz w:val="20"/>
                    <w:szCs w:val="20"/>
                    <w:lang w:val="en-GB" w:eastAsia="en-GB"/>
                  </w:rPr>
                  <w:t>del</w:t>
                </w:r>
              </w:smartTag>
            </w:smartTag>
            <w:r w:rsidRPr="00612928">
              <w:rPr>
                <w:rFonts w:ascii="Times New Roman" w:eastAsia="Times New Roman" w:hAnsi="Times New Roman" w:cs="Times New Roman"/>
                <w:color w:val="333333"/>
                <w:sz w:val="20"/>
                <w:szCs w:val="20"/>
                <w:lang w:val="en-GB" w:eastAsia="en-GB"/>
              </w:rPr>
              <w:t xml:space="preserve"> kuponske pole, ki služi kot osnova za pridobitev nove kuponske pole oz. za zamenjavo vrednostnega papirja, če je ta poškodovan oz. uničen.</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Delniška knjiga</w:t>
            </w:r>
            <w:r w:rsidRPr="00612928">
              <w:rPr>
                <w:rFonts w:ascii="Times New Roman" w:eastAsia="Times New Roman" w:hAnsi="Times New Roman" w:cs="Times New Roman"/>
                <w:color w:val="333333"/>
                <w:sz w:val="20"/>
                <w:szCs w:val="20"/>
                <w:lang w:val="en-GB" w:eastAsia="en-GB"/>
              </w:rPr>
              <w:t xml:space="preserve"> - tudi delniški register; knjiga delniških družb, v kateri se vodijo imenske delnice glede na ime in prebivališče delničarja.</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Delnica - </w:t>
            </w:r>
            <w:r w:rsidRPr="00612928">
              <w:rPr>
                <w:rFonts w:ascii="Times New Roman" w:eastAsia="Times New Roman" w:hAnsi="Times New Roman" w:cs="Times New Roman"/>
                <w:color w:val="333333"/>
                <w:sz w:val="20"/>
                <w:szCs w:val="20"/>
                <w:lang w:val="en-GB" w:eastAsia="en-GB"/>
              </w:rPr>
              <w:t>članski in množični vrednostni papir. Predstavlja solastnino v delniški družbi in zato daje delničarju določene pravice, katerih minimalni obseg določa pri nas Zakon o gospodarskih družbah.</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Dematerializacija vrednostnih papirjev</w:t>
            </w:r>
            <w:r w:rsidRPr="00612928">
              <w:rPr>
                <w:rFonts w:ascii="Times New Roman" w:eastAsia="Times New Roman" w:hAnsi="Times New Roman" w:cs="Times New Roman"/>
                <w:color w:val="333333"/>
                <w:sz w:val="20"/>
                <w:szCs w:val="20"/>
                <w:lang w:val="en-GB" w:eastAsia="en-GB"/>
              </w:rPr>
              <w:t xml:space="preserve"> - način poslovanja z vrednostnimi papirji, pri katerem ti niso več v obliki pisne listine in zakon ne zahteva, da je vsebina pravic iz vrednostnega papirja vezana na sam papir kot pisno listino. Vrednostni papirji se vodijo v obliki elektronskega zapisa preko računalniškega sistema hrambe, </w:t>
            </w:r>
            <w:r w:rsidRPr="00612928">
              <w:rPr>
                <w:rFonts w:ascii="Times New Roman" w:eastAsia="Times New Roman" w:hAnsi="Times New Roman" w:cs="Times New Roman"/>
                <w:color w:val="333333"/>
                <w:sz w:val="20"/>
                <w:szCs w:val="20"/>
                <w:lang w:val="en-GB" w:eastAsia="en-GB"/>
              </w:rPr>
              <w:lastRenderedPageBreak/>
              <w:t>trgovanja in poravnave transakcij z vrednostnimi papirji.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Diskont</w:t>
            </w:r>
            <w:r w:rsidRPr="00612928">
              <w:rPr>
                <w:rFonts w:ascii="Times New Roman" w:eastAsia="Times New Roman" w:hAnsi="Times New Roman" w:cs="Times New Roman"/>
                <w:color w:val="333333"/>
                <w:sz w:val="20"/>
                <w:szCs w:val="20"/>
                <w:lang w:val="en-GB" w:eastAsia="en-GB"/>
              </w:rPr>
              <w:t xml:space="preserve"> - razlika med nominalno vrednostjo vrednostnih papirjev in njihovo nižjo tržno vrednostjo. Običajno se uporablja pri dolžniških vrednostnih papirjih in se izraža v % od nominalne vrednosti.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Dolgoročni vrednostni papirji - </w:t>
            </w:r>
            <w:r w:rsidRPr="00612928">
              <w:rPr>
                <w:rFonts w:ascii="Times New Roman" w:eastAsia="Times New Roman" w:hAnsi="Times New Roman" w:cs="Times New Roman"/>
                <w:color w:val="333333"/>
                <w:sz w:val="20"/>
                <w:szCs w:val="20"/>
                <w:lang w:val="en-GB" w:eastAsia="en-GB"/>
              </w:rPr>
              <w:t>vrednostni papirji, pri katerih se pravice iz njih uresničujejo dalj kot eno leto. Sem prištevamo običajno obveznice in delnice.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Dolžniški vrednostni papirji</w:t>
            </w:r>
            <w:r w:rsidRPr="00612928">
              <w:rPr>
                <w:rFonts w:ascii="Times New Roman" w:eastAsia="Times New Roman" w:hAnsi="Times New Roman" w:cs="Times New Roman"/>
                <w:color w:val="333333"/>
                <w:sz w:val="20"/>
                <w:szCs w:val="20"/>
                <w:lang w:val="en-GB" w:eastAsia="en-GB"/>
              </w:rPr>
              <w:t xml:space="preserve"> - vrsta vrednostnih papirjev, pri katerih pripada imetniku teh papirjev (upniku) pravica zahtevati od izdajatelja (dolžnika) vračilo osnovne glavnice in pripadajočih obresti ob njihovi dospelosti.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Donosnost</w:t>
            </w:r>
            <w:r w:rsidRPr="00612928">
              <w:rPr>
                <w:rFonts w:ascii="Times New Roman" w:eastAsia="Times New Roman" w:hAnsi="Times New Roman" w:cs="Times New Roman"/>
                <w:color w:val="333333"/>
                <w:sz w:val="20"/>
                <w:szCs w:val="20"/>
                <w:lang w:val="en-GB" w:eastAsia="en-GB"/>
              </w:rPr>
              <w:t xml:space="preserve"> - v odstotkih izraženo razmerje med denarnim donosom (npr. dividenda, obresti, povečanje vrednosti naložbe) in ceno naložbe ob nakupu.</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Dospelost</w:t>
            </w:r>
            <w:r w:rsidRPr="00612928">
              <w:rPr>
                <w:rFonts w:ascii="Times New Roman" w:eastAsia="Times New Roman" w:hAnsi="Times New Roman" w:cs="Times New Roman"/>
                <w:color w:val="333333"/>
                <w:sz w:val="20"/>
                <w:szCs w:val="20"/>
                <w:lang w:val="en-GB" w:eastAsia="en-GB"/>
              </w:rPr>
              <w:t xml:space="preserve"> - ko postane neka obveznost izterljiva in se lahko zahteva njena izpolnitev, kot je npr. izplačilo obresti ob dospelosti posameznih kuponov (obveznice) oz. izplačilo glavnice na koncu odplačilnega obdobja.</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Družba za upravljanje (DZU)</w:t>
            </w:r>
            <w:r w:rsidRPr="00612928">
              <w:rPr>
                <w:rFonts w:ascii="Times New Roman" w:eastAsia="Times New Roman" w:hAnsi="Times New Roman" w:cs="Times New Roman"/>
                <w:color w:val="333333"/>
                <w:sz w:val="20"/>
                <w:szCs w:val="20"/>
                <w:lang w:val="en-GB" w:eastAsia="en-GB"/>
              </w:rPr>
              <w:t xml:space="preserve"> - posebna finančna institucija (gospodarska družba), ustanovljena z namenom ustanavljanja in upravljanja investicijskih skladov. Premoženje sklada je ločeno od premoženja družbe.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Diskontni faktor, faktor sedanje vrednosti</w:t>
            </w:r>
            <w:r w:rsidRPr="00612928">
              <w:rPr>
                <w:rFonts w:ascii="Times New Roman" w:eastAsia="Times New Roman" w:hAnsi="Times New Roman" w:cs="Times New Roman"/>
                <w:color w:val="333333"/>
                <w:sz w:val="20"/>
                <w:szCs w:val="20"/>
                <w:lang w:val="en-GB" w:eastAsia="en-GB"/>
              </w:rPr>
              <w:t xml:space="preserve"> - pri dani diskontni stopnji in ob danem prihodnjem časovnem trenutku pove, kolikšna je sedanja vrednost ene denarne enote.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Euro delnice </w:t>
            </w:r>
            <w:bookmarkStart w:id="4" w:name="Eurodelnice"/>
            <w:bookmarkEnd w:id="3"/>
            <w:r w:rsidRPr="00612928">
              <w:rPr>
                <w:rFonts w:ascii="Times New Roman" w:eastAsia="Times New Roman" w:hAnsi="Times New Roman" w:cs="Times New Roman"/>
                <w:b/>
                <w:bCs/>
                <w:color w:val="333333"/>
                <w:sz w:val="20"/>
                <w:szCs w:val="20"/>
                <w:lang w:val="en-GB" w:eastAsia="en-GB"/>
              </w:rPr>
              <w:t>-</w:t>
            </w:r>
            <w:r w:rsidRPr="00612928">
              <w:rPr>
                <w:rFonts w:ascii="Times New Roman" w:eastAsia="Times New Roman" w:hAnsi="Times New Roman" w:cs="Times New Roman"/>
                <w:color w:val="333333"/>
                <w:sz w:val="20"/>
                <w:szCs w:val="20"/>
                <w:lang w:val="en-GB" w:eastAsia="en-GB"/>
              </w:rPr>
              <w:t xml:space="preserve"> delnice, ki se ponudijo v prodajo preko mednarodno sestavljenih konzorcijev in mednarodnem trgu kapitala.</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Euro obveznice</w:t>
            </w:r>
            <w:r w:rsidRPr="00612928">
              <w:rPr>
                <w:rFonts w:ascii="Times New Roman" w:eastAsia="Times New Roman" w:hAnsi="Times New Roman" w:cs="Times New Roman"/>
                <w:color w:val="333333"/>
                <w:sz w:val="20"/>
                <w:szCs w:val="20"/>
                <w:lang w:val="en-GB" w:eastAsia="en-GB"/>
              </w:rPr>
              <w:t xml:space="preserve"> - obveznice, izdane izven države in v drugi valuti kot je valuta države izdajatelja obveznic.</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Izvedeni vrednostni papirji </w:t>
            </w:r>
            <w:bookmarkStart w:id="5" w:name="Izvedenivrednostnipapirji"/>
            <w:bookmarkEnd w:id="4"/>
            <w:r w:rsidRPr="00612928">
              <w:rPr>
                <w:rFonts w:ascii="Times New Roman" w:eastAsia="Times New Roman" w:hAnsi="Times New Roman" w:cs="Times New Roman"/>
                <w:color w:val="333333"/>
                <w:sz w:val="20"/>
                <w:szCs w:val="20"/>
                <w:lang w:val="en-GB" w:eastAsia="en-GB"/>
              </w:rPr>
              <w:t>- vrednostni papirji oziroma pogodbe, ki se nanašajo na neki temeljni vrednostni papir kot sta npr. delnica oz. obveznica. Mednje spadajo zlasti opcije, prednostne pravice in nakupni boni.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Kapitalski dobiček </w:t>
            </w:r>
            <w:bookmarkStart w:id="6" w:name="Kapitalskidobiek"/>
            <w:bookmarkEnd w:id="5"/>
            <w:r w:rsidRPr="00612928">
              <w:rPr>
                <w:rFonts w:ascii="Times New Roman" w:eastAsia="Times New Roman" w:hAnsi="Times New Roman" w:cs="Times New Roman"/>
                <w:color w:val="333333"/>
                <w:sz w:val="20"/>
                <w:szCs w:val="20"/>
                <w:lang w:val="en-GB" w:eastAsia="en-GB"/>
              </w:rPr>
              <w:t>- dobiček, ki se realizira ob prodaji določenega vrednostnega papirja, če se le-ta proda po tečaju, ki je višji, kot je bil tečaj nakupa.</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Knjigovodska vrednost delnice</w:t>
            </w:r>
            <w:r w:rsidRPr="00612928">
              <w:rPr>
                <w:rFonts w:ascii="Times New Roman" w:eastAsia="Times New Roman" w:hAnsi="Times New Roman" w:cs="Times New Roman"/>
                <w:color w:val="333333"/>
                <w:sz w:val="20"/>
                <w:szCs w:val="20"/>
                <w:lang w:val="en-GB" w:eastAsia="en-GB"/>
              </w:rPr>
              <w:t xml:space="preserve"> - vrednost delnice, ki se izračuna iz podatkov iz bilance stanja delniške družbe kot razmerje med lastniškim kapitalom in številom izdanih delnic delniške družbe.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Likvidnost</w:t>
            </w:r>
            <w:bookmarkEnd w:id="6"/>
            <w:r w:rsidRPr="00612928">
              <w:rPr>
                <w:rFonts w:ascii="Times New Roman" w:eastAsia="Times New Roman" w:hAnsi="Times New Roman" w:cs="Times New Roman"/>
                <w:color w:val="333333"/>
                <w:sz w:val="20"/>
                <w:szCs w:val="20"/>
                <w:lang w:val="en-GB" w:eastAsia="en-GB"/>
              </w:rPr>
              <w:t xml:space="preserve"> – trga: sposobnost, da trg absorbira nenadne spremembe obsega ponudbe oz. povpraševanja, ne da bi prišlo do pretiranih tečajnih nihanj.</w:t>
            </w:r>
            <w:r w:rsidRPr="00612928">
              <w:rPr>
                <w:rFonts w:ascii="Times New Roman" w:eastAsia="Times New Roman" w:hAnsi="Times New Roman" w:cs="Times New Roman"/>
                <w:color w:val="333333"/>
                <w:sz w:val="20"/>
                <w:szCs w:val="20"/>
                <w:lang w:val="en-GB" w:eastAsia="en-GB"/>
              </w:rPr>
              <w:br/>
              <w:t>Vrednostnega papirja: sposobnost prodaje določene (tudi večje) količine vrednostnega papirja po trenutni tržni ceni.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smartTag w:uri="urn:schemas-microsoft-com:office:smarttags" w:element="place">
              <w:r w:rsidRPr="00612928">
                <w:rPr>
                  <w:rFonts w:ascii="Times New Roman" w:eastAsia="Times New Roman" w:hAnsi="Times New Roman" w:cs="Times New Roman"/>
                  <w:b/>
                  <w:bCs/>
                  <w:color w:val="333333"/>
                  <w:sz w:val="20"/>
                  <w:szCs w:val="20"/>
                  <w:lang w:val="en-GB" w:eastAsia="en-GB"/>
                </w:rPr>
                <w:t>Lot</w:t>
              </w:r>
            </w:smartTag>
            <w:r w:rsidRPr="00612928">
              <w:rPr>
                <w:rFonts w:ascii="Times New Roman" w:eastAsia="Times New Roman" w:hAnsi="Times New Roman" w:cs="Times New Roman"/>
                <w:b/>
                <w:bCs/>
                <w:color w:val="333333"/>
                <w:sz w:val="20"/>
                <w:szCs w:val="20"/>
                <w:lang w:val="en-GB" w:eastAsia="en-GB"/>
              </w:rPr>
              <w:t xml:space="preserve"> </w:t>
            </w:r>
            <w:r w:rsidRPr="00612928">
              <w:rPr>
                <w:rFonts w:ascii="Times New Roman" w:eastAsia="Times New Roman" w:hAnsi="Times New Roman" w:cs="Times New Roman"/>
                <w:color w:val="333333"/>
                <w:sz w:val="20"/>
                <w:szCs w:val="20"/>
                <w:lang w:val="en-GB" w:eastAsia="en-GB"/>
              </w:rPr>
              <w:t>- enota za trgovanje z vrednostnimi papirji oziroma z blagom. Velikost lota je odvisna od vrednosti samih vrednostnih papirjev in od kupne moči investitorjev v določenem gospodarstvu. Na Ljubljanski borzi je lot navadno kar ena delnica oziroma ena obveznica (njen najmanjši apoen).</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Obrestna mera </w:t>
            </w:r>
            <w:r w:rsidRPr="00612928">
              <w:rPr>
                <w:rFonts w:ascii="Times New Roman" w:eastAsia="Times New Roman" w:hAnsi="Times New Roman" w:cs="Times New Roman"/>
                <w:color w:val="333333"/>
                <w:sz w:val="20"/>
                <w:szCs w:val="20"/>
                <w:lang w:val="en-GB" w:eastAsia="en-GB"/>
              </w:rPr>
              <w:t>- v odstotkih izražena cena, ki jo plačamo oziroma jo dobimo za posojeni denar. Obrestna mera se pri dolžniških vrednostnih papirjih nanaša na nominalno in ne na tržno vrednost vrednostnega papirja.</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Opcija</w:t>
            </w:r>
            <w:r w:rsidRPr="00612928">
              <w:rPr>
                <w:rFonts w:ascii="Times New Roman" w:eastAsia="Times New Roman" w:hAnsi="Times New Roman" w:cs="Times New Roman"/>
                <w:color w:val="333333"/>
                <w:sz w:val="20"/>
                <w:szCs w:val="20"/>
                <w:lang w:val="en-GB" w:eastAsia="en-GB"/>
              </w:rPr>
              <w:t xml:space="preserve"> - pogodba, s katero se izdajatelj opcije zavezuje, da bo od lastnika opcije kupil oziroma mu prodal predmet opcijske pogodbe (npr. vrednostni papir) po vnaprej določeni (izpolnitveni) ceni. Opcija velja ne glede na tržno ceno v tistem trenutku, če bo lastnik opcije to od njega zahteval. Za pravico izbire plača lastnik opcije določeno opcijsko premijo.</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Oseba z notranjimi informacijami</w:t>
            </w:r>
            <w:r w:rsidRPr="00612928">
              <w:rPr>
                <w:rFonts w:ascii="Times New Roman" w:eastAsia="Times New Roman" w:hAnsi="Times New Roman" w:cs="Times New Roman"/>
                <w:color w:val="333333"/>
                <w:sz w:val="20"/>
                <w:szCs w:val="20"/>
                <w:lang w:val="en-GB" w:eastAsia="en-GB"/>
              </w:rPr>
              <w:t xml:space="preserve"> – oseba, ki lahko na podlagi svojega poklicnega položaja lahko pridobi informacije, ki vplivajo na tečaje določenih vrednostnih papirjev pred ostalimi investitorji.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Pasivne obresti </w:t>
            </w:r>
            <w:bookmarkStart w:id="7" w:name="Pasivneobresti"/>
            <w:r w:rsidRPr="00612928">
              <w:rPr>
                <w:rFonts w:ascii="Times New Roman" w:eastAsia="Times New Roman" w:hAnsi="Times New Roman" w:cs="Times New Roman"/>
                <w:color w:val="333333"/>
                <w:sz w:val="20"/>
                <w:szCs w:val="20"/>
                <w:lang w:val="en-GB" w:eastAsia="en-GB"/>
              </w:rPr>
              <w:t>- obresti, ki jih mora plačati banka (drugi posojilojemalec) za pri njej naloženi denar.</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lastRenderedPageBreak/>
              <w:t xml:space="preserve">Portfelj </w:t>
            </w:r>
            <w:r w:rsidRPr="00612928">
              <w:rPr>
                <w:rFonts w:ascii="Times New Roman" w:eastAsia="Times New Roman" w:hAnsi="Times New Roman" w:cs="Times New Roman"/>
                <w:color w:val="333333"/>
                <w:sz w:val="20"/>
                <w:szCs w:val="20"/>
                <w:lang w:val="en-GB" w:eastAsia="en-GB"/>
              </w:rPr>
              <w:t xml:space="preserve">– sredstva ali finančno premoženje naloženo v različnih vrednostnih papirjih. Bistvo portfelja je razpršitev naložb v različne vrednostne papirje in na ta </w:t>
            </w:r>
            <w:proofErr w:type="gramStart"/>
            <w:r w:rsidRPr="00612928">
              <w:rPr>
                <w:rFonts w:ascii="Times New Roman" w:eastAsia="Times New Roman" w:hAnsi="Times New Roman" w:cs="Times New Roman"/>
                <w:color w:val="333333"/>
                <w:sz w:val="20"/>
                <w:szCs w:val="20"/>
                <w:lang w:val="en-GB" w:eastAsia="en-GB"/>
              </w:rPr>
              <w:t>način  čim</w:t>
            </w:r>
            <w:proofErr w:type="gramEnd"/>
            <w:r w:rsidRPr="00612928">
              <w:rPr>
                <w:rFonts w:ascii="Times New Roman" w:eastAsia="Times New Roman" w:hAnsi="Times New Roman" w:cs="Times New Roman"/>
                <w:color w:val="333333"/>
                <w:sz w:val="20"/>
                <w:szCs w:val="20"/>
                <w:lang w:val="en-GB" w:eastAsia="en-GB"/>
              </w:rPr>
              <w:t xml:space="preserve"> bolj znižati tveganje.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Prednostne delnice</w:t>
            </w:r>
            <w:r w:rsidRPr="00612928">
              <w:rPr>
                <w:rFonts w:ascii="Times New Roman" w:eastAsia="Times New Roman" w:hAnsi="Times New Roman" w:cs="Times New Roman"/>
                <w:color w:val="333333"/>
                <w:sz w:val="20"/>
                <w:szCs w:val="20"/>
                <w:lang w:val="en-GB" w:eastAsia="en-GB"/>
              </w:rPr>
              <w:t xml:space="preserve"> - vrsta delnic, ki omogoča prednost pri izplačilu dividende v višini, ki jo določa statut družbe, preden se izplača dividenda imetnikom navadnih delnic. Prednost imajo prav tako pri izplačilu iz likvidacijske oz. stečajne mase v primeru prenehanja družbe. Običajno so prednostne delnice brez glasovalne pravice.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Premija</w:t>
            </w:r>
            <w:r w:rsidRPr="00612928">
              <w:rPr>
                <w:rFonts w:ascii="Times New Roman" w:eastAsia="Times New Roman" w:hAnsi="Times New Roman" w:cs="Times New Roman"/>
                <w:color w:val="333333"/>
                <w:sz w:val="20"/>
                <w:szCs w:val="20"/>
                <w:lang w:val="en-GB" w:eastAsia="en-GB"/>
              </w:rPr>
              <w:t xml:space="preserve"> - razlika med nominalno vrednostjo vrednostnega papirja in njegovo višjo tečajno vrednostjo, izraženo običajno v %, od nominalne vrednosti.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Prevzem</w:t>
            </w:r>
            <w:r w:rsidRPr="00612928">
              <w:rPr>
                <w:rFonts w:ascii="Times New Roman" w:eastAsia="Times New Roman" w:hAnsi="Times New Roman" w:cs="Times New Roman"/>
                <w:color w:val="333333"/>
                <w:sz w:val="20"/>
                <w:szCs w:val="20"/>
                <w:lang w:val="en-GB" w:eastAsia="en-GB"/>
              </w:rPr>
              <w:t xml:space="preserve"> - nakup takega deleža drugega podjetja – delnic z glasovalno pravico v določeni delniški družbi, ki omogoča nadzor vodenja te družbe.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Primarni trg</w:t>
            </w:r>
            <w:r w:rsidRPr="00612928">
              <w:rPr>
                <w:rFonts w:ascii="Times New Roman" w:eastAsia="Times New Roman" w:hAnsi="Times New Roman" w:cs="Times New Roman"/>
                <w:color w:val="333333"/>
                <w:sz w:val="20"/>
                <w:szCs w:val="20"/>
                <w:lang w:val="en-GB" w:eastAsia="en-GB"/>
              </w:rPr>
              <w:t xml:space="preserve"> - finančni trg, kjer se trguje z novimi izdajami finančnih instrumentov.</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Prosti trg</w:t>
            </w:r>
            <w:r w:rsidRPr="00612928">
              <w:rPr>
                <w:rFonts w:ascii="Times New Roman" w:eastAsia="Times New Roman" w:hAnsi="Times New Roman" w:cs="Times New Roman"/>
                <w:color w:val="333333"/>
                <w:sz w:val="20"/>
                <w:szCs w:val="20"/>
                <w:lang w:val="en-GB" w:eastAsia="en-GB"/>
              </w:rPr>
              <w:t xml:space="preserve"> - poseben segment trgovanja na Ljubljanski borzi, kjer so pogoji za sprejem manj zahtevni, kot za sprejem v kotacijo.</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Razdelitev delnice </w:t>
            </w:r>
            <w:bookmarkStart w:id="8" w:name="Razdelitevdelnice"/>
            <w:bookmarkEnd w:id="7"/>
            <w:r w:rsidRPr="00612928">
              <w:rPr>
                <w:rFonts w:ascii="Times New Roman" w:eastAsia="Times New Roman" w:hAnsi="Times New Roman" w:cs="Times New Roman"/>
                <w:color w:val="333333"/>
                <w:sz w:val="20"/>
                <w:szCs w:val="20"/>
                <w:lang w:val="en-GB" w:eastAsia="en-GB"/>
              </w:rPr>
              <w:t>- do razdelitve ene delnice na več delnic pride takrat, ko borzni tečaj neke delnice doseže tako visoko raven, da je zaradi tega z njo trgovanje oteženo.</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Razmerje med tečajem in dobičkom (T/D)</w:t>
            </w:r>
            <w:r w:rsidRPr="00612928">
              <w:rPr>
                <w:rFonts w:ascii="Times New Roman" w:eastAsia="Times New Roman" w:hAnsi="Times New Roman" w:cs="Times New Roman"/>
                <w:color w:val="333333"/>
                <w:sz w:val="20"/>
                <w:szCs w:val="20"/>
                <w:lang w:val="en-GB" w:eastAsia="en-GB"/>
              </w:rPr>
              <w:t xml:space="preserve"> – predstavlja razmerje med tečajem in dobičkom na posamezno delnico. Izraža pa za kolikokrat je trenutni tržni tečaj višji od čistega dobička na delnico. Kazalnik T/D pove, koliko let je potrebnih, da bi družba ob trenutni letni višini dobička z njim pokrila tečaj svoje delnice.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Razvrščanje</w:t>
            </w:r>
            <w:r w:rsidRPr="00612928">
              <w:rPr>
                <w:rFonts w:ascii="Times New Roman" w:eastAsia="Times New Roman" w:hAnsi="Times New Roman" w:cs="Times New Roman"/>
                <w:color w:val="333333"/>
                <w:sz w:val="20"/>
                <w:szCs w:val="20"/>
                <w:lang w:val="en-GB" w:eastAsia="en-GB"/>
              </w:rPr>
              <w:t xml:space="preserve"> - razvrščanje in klasificiranje relativne in absolutne kreditne sposobnosti dolžniških vrednostnih papirjev in njihovih izdajateljev glede na posamezne kriterije. Najbolj znani mednarodni agenciji za razvrščanje sta agenciji Standard &amp; Poor's (S&amp;P) in Moody's.</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Sekundarni trg </w:t>
            </w:r>
            <w:bookmarkStart w:id="9" w:name="Sekundarnitrg"/>
            <w:bookmarkEnd w:id="8"/>
            <w:r w:rsidRPr="00612928">
              <w:rPr>
                <w:rFonts w:ascii="Times New Roman" w:eastAsia="Times New Roman" w:hAnsi="Times New Roman" w:cs="Times New Roman"/>
                <w:color w:val="333333"/>
                <w:sz w:val="20"/>
                <w:szCs w:val="20"/>
                <w:lang w:val="en-GB" w:eastAsia="en-GB"/>
              </w:rPr>
              <w:t xml:space="preserve">- </w:t>
            </w:r>
            <w:smartTag w:uri="urn:schemas-microsoft-com:office:smarttags" w:element="State">
              <w:r w:rsidRPr="00612928">
                <w:rPr>
                  <w:rFonts w:ascii="Times New Roman" w:eastAsia="Times New Roman" w:hAnsi="Times New Roman" w:cs="Times New Roman"/>
                  <w:color w:val="333333"/>
                  <w:sz w:val="20"/>
                  <w:szCs w:val="20"/>
                  <w:lang w:val="en-GB" w:eastAsia="en-GB"/>
                </w:rPr>
                <w:t>del</w:t>
              </w:r>
            </w:smartTag>
            <w:r w:rsidRPr="00612928">
              <w:rPr>
                <w:rFonts w:ascii="Times New Roman" w:eastAsia="Times New Roman" w:hAnsi="Times New Roman" w:cs="Times New Roman"/>
                <w:color w:val="333333"/>
                <w:sz w:val="20"/>
                <w:szCs w:val="20"/>
                <w:lang w:val="en-GB" w:eastAsia="en-GB"/>
              </w:rPr>
              <w:t xml:space="preserve"> finančnega trga, na katerem se trguje z že izdanimi vrednostnimi papirji, </w:t>
            </w:r>
            <w:smartTag w:uri="urn:schemas-microsoft-com:office:smarttags" w:element="State">
              <w:smartTag w:uri="urn:schemas-microsoft-com:office:smarttags" w:element="place">
                <w:r w:rsidRPr="00612928">
                  <w:rPr>
                    <w:rFonts w:ascii="Times New Roman" w:eastAsia="Times New Roman" w:hAnsi="Times New Roman" w:cs="Times New Roman"/>
                    <w:color w:val="333333"/>
                    <w:sz w:val="20"/>
                    <w:szCs w:val="20"/>
                    <w:lang w:val="en-GB" w:eastAsia="en-GB"/>
                  </w:rPr>
                  <w:t>del</w:t>
                </w:r>
              </w:smartTag>
            </w:smartTag>
            <w:r w:rsidRPr="00612928">
              <w:rPr>
                <w:rFonts w:ascii="Times New Roman" w:eastAsia="Times New Roman" w:hAnsi="Times New Roman" w:cs="Times New Roman"/>
                <w:color w:val="333333"/>
                <w:sz w:val="20"/>
                <w:szCs w:val="20"/>
                <w:lang w:val="en-GB" w:eastAsia="en-GB"/>
              </w:rPr>
              <w:t xml:space="preserve"> tega trga je tudi borza vrednostnih papirjev.</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SWIFT</w:t>
            </w:r>
            <w:r w:rsidRPr="00612928">
              <w:rPr>
                <w:rFonts w:ascii="Times New Roman" w:eastAsia="Times New Roman" w:hAnsi="Times New Roman" w:cs="Times New Roman"/>
                <w:color w:val="333333"/>
                <w:sz w:val="20"/>
                <w:szCs w:val="20"/>
                <w:lang w:val="en-GB" w:eastAsia="en-GB"/>
              </w:rPr>
              <w:t xml:space="preserve"> - Society for Worlwide Interbank Financial Telecommunications. Mednarodni informacijski sistem, ki omogoča opravljanje mednarodnih transakcij v enotni obliki.</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 xml:space="preserve">Tehnična analiza </w:t>
            </w:r>
            <w:bookmarkStart w:id="10" w:name="Tehninaanaliza"/>
            <w:bookmarkEnd w:id="9"/>
            <w:r w:rsidRPr="00612928">
              <w:rPr>
                <w:rFonts w:ascii="Times New Roman" w:eastAsia="Times New Roman" w:hAnsi="Times New Roman" w:cs="Times New Roman"/>
                <w:color w:val="333333"/>
                <w:sz w:val="20"/>
                <w:szCs w:val="20"/>
                <w:lang w:val="en-GB" w:eastAsia="en-GB"/>
              </w:rPr>
              <w:t xml:space="preserve">- napovedovanje bodočih gibanj tečajev vrednostnih </w:t>
            </w:r>
            <w:proofErr w:type="gramStart"/>
            <w:r w:rsidRPr="00612928">
              <w:rPr>
                <w:rFonts w:ascii="Times New Roman" w:eastAsia="Times New Roman" w:hAnsi="Times New Roman" w:cs="Times New Roman"/>
                <w:color w:val="333333"/>
                <w:sz w:val="20"/>
                <w:szCs w:val="20"/>
                <w:lang w:val="en-GB" w:eastAsia="en-GB"/>
              </w:rPr>
              <w:t>papirjev  na</w:t>
            </w:r>
            <w:proofErr w:type="gramEnd"/>
            <w:r w:rsidRPr="00612928">
              <w:rPr>
                <w:rFonts w:ascii="Times New Roman" w:eastAsia="Times New Roman" w:hAnsi="Times New Roman" w:cs="Times New Roman"/>
                <w:color w:val="333333"/>
                <w:sz w:val="20"/>
                <w:szCs w:val="20"/>
                <w:lang w:val="en-GB" w:eastAsia="en-GB"/>
              </w:rPr>
              <w:t xml:space="preserve"> podlagi preučevanja grafičnih prikazov in diagramov dosedanjih gibanj.</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Terciarni trg</w:t>
            </w:r>
            <w:r w:rsidRPr="00612928">
              <w:rPr>
                <w:rFonts w:ascii="Times New Roman" w:eastAsia="Times New Roman" w:hAnsi="Times New Roman" w:cs="Times New Roman"/>
                <w:color w:val="333333"/>
                <w:sz w:val="20"/>
                <w:szCs w:val="20"/>
                <w:lang w:val="en-GB" w:eastAsia="en-GB"/>
              </w:rPr>
              <w:t xml:space="preserve"> - uveljavljen zlasti v ZDA.  Je trg, na katerem se z vrednostnimi papirji, ki kotirajo na borzi, trguje mimo borze.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Terminski posli</w:t>
            </w:r>
            <w:r w:rsidRPr="00612928">
              <w:rPr>
                <w:rFonts w:ascii="Times New Roman" w:eastAsia="Times New Roman" w:hAnsi="Times New Roman" w:cs="Times New Roman"/>
                <w:color w:val="333333"/>
                <w:sz w:val="20"/>
                <w:szCs w:val="20"/>
                <w:lang w:val="en-GB" w:eastAsia="en-GB"/>
              </w:rPr>
              <w:t xml:space="preserve"> - vrsta poslov, pri katerih sledi izpolnitev iz pogodbe v roku in pod pogoji, določenimi ob sklenitvi posla. Ena izmed vrst terminskih poslov so tudi posli z opcijami na vrednostne papirje.</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Trg kapitala</w:t>
            </w:r>
            <w:r w:rsidRPr="00612928">
              <w:rPr>
                <w:rFonts w:ascii="Times New Roman" w:eastAsia="Times New Roman" w:hAnsi="Times New Roman" w:cs="Times New Roman"/>
                <w:color w:val="333333"/>
                <w:sz w:val="20"/>
                <w:szCs w:val="20"/>
                <w:lang w:val="en-GB" w:eastAsia="en-GB"/>
              </w:rPr>
              <w:t xml:space="preserve"> - </w:t>
            </w:r>
            <w:smartTag w:uri="urn:schemas-microsoft-com:office:smarttags" w:element="State">
              <w:smartTag w:uri="urn:schemas-microsoft-com:office:smarttags" w:element="place">
                <w:r w:rsidRPr="00612928">
                  <w:rPr>
                    <w:rFonts w:ascii="Times New Roman" w:eastAsia="Times New Roman" w:hAnsi="Times New Roman" w:cs="Times New Roman"/>
                    <w:color w:val="333333"/>
                    <w:sz w:val="20"/>
                    <w:szCs w:val="20"/>
                    <w:lang w:val="en-GB" w:eastAsia="en-GB"/>
                  </w:rPr>
                  <w:t>del</w:t>
                </w:r>
              </w:smartTag>
            </w:smartTag>
            <w:r w:rsidRPr="00612928">
              <w:rPr>
                <w:rFonts w:ascii="Times New Roman" w:eastAsia="Times New Roman" w:hAnsi="Times New Roman" w:cs="Times New Roman"/>
                <w:color w:val="333333"/>
                <w:sz w:val="20"/>
                <w:szCs w:val="20"/>
                <w:lang w:val="en-GB" w:eastAsia="en-GB"/>
              </w:rPr>
              <w:t xml:space="preserve"> finančnega trga za dolgoročne finančne oblike, npr. dolgoročne kredite in lastniški kapital.</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Trend</w:t>
            </w:r>
            <w:r w:rsidRPr="00612928">
              <w:rPr>
                <w:rFonts w:ascii="Times New Roman" w:eastAsia="Times New Roman" w:hAnsi="Times New Roman" w:cs="Times New Roman"/>
                <w:color w:val="333333"/>
                <w:sz w:val="20"/>
                <w:szCs w:val="20"/>
                <w:lang w:val="en-GB" w:eastAsia="en-GB"/>
              </w:rPr>
              <w:t xml:space="preserve"> – smer gibanja tečaja določenega vrednostnega papirja v nekem obdobju.</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Volatilnost</w:t>
            </w:r>
            <w:bookmarkStart w:id="11" w:name="Volatilnost"/>
            <w:bookmarkEnd w:id="10"/>
            <w:r w:rsidRPr="00612928">
              <w:rPr>
                <w:rFonts w:ascii="Times New Roman" w:eastAsia="Times New Roman" w:hAnsi="Times New Roman" w:cs="Times New Roman"/>
                <w:b/>
                <w:bCs/>
                <w:color w:val="333333"/>
                <w:sz w:val="20"/>
                <w:szCs w:val="20"/>
                <w:lang w:val="en-GB" w:eastAsia="en-GB"/>
              </w:rPr>
              <w:t xml:space="preserve"> </w:t>
            </w:r>
            <w:proofErr w:type="gramStart"/>
            <w:r w:rsidRPr="00612928">
              <w:rPr>
                <w:rFonts w:ascii="Times New Roman" w:eastAsia="Times New Roman" w:hAnsi="Times New Roman" w:cs="Times New Roman"/>
                <w:b/>
                <w:bCs/>
                <w:color w:val="333333"/>
                <w:sz w:val="20"/>
                <w:szCs w:val="20"/>
                <w:lang w:val="en-GB" w:eastAsia="en-GB"/>
              </w:rPr>
              <w:t xml:space="preserve">- </w:t>
            </w:r>
            <w:r w:rsidRPr="00612928">
              <w:rPr>
                <w:rFonts w:ascii="Times New Roman" w:eastAsia="Times New Roman" w:hAnsi="Times New Roman" w:cs="Times New Roman"/>
                <w:color w:val="333333"/>
                <w:sz w:val="20"/>
                <w:szCs w:val="20"/>
                <w:lang w:val="en-GB" w:eastAsia="en-GB"/>
              </w:rPr>
              <w:t> pravimo</w:t>
            </w:r>
            <w:proofErr w:type="gramEnd"/>
            <w:r w:rsidRPr="00612928">
              <w:rPr>
                <w:rFonts w:ascii="Times New Roman" w:eastAsia="Times New Roman" w:hAnsi="Times New Roman" w:cs="Times New Roman"/>
                <w:color w:val="333333"/>
                <w:sz w:val="20"/>
                <w:szCs w:val="20"/>
                <w:lang w:val="en-GB" w:eastAsia="en-GB"/>
              </w:rPr>
              <w:t xml:space="preserve"> nihanju cen delnic v določenem obdobju (nihanju npr. + - X% delnice, naložbe, portfelja, itd.). </w:t>
            </w:r>
            <w:r w:rsidRPr="00612928">
              <w:rPr>
                <w:rFonts w:ascii="Times New Roman" w:eastAsia="Times New Roman" w:hAnsi="Times New Roman" w:cs="Times New Roman"/>
                <w:color w:val="333333"/>
                <w:sz w:val="20"/>
                <w:szCs w:val="20"/>
                <w:lang w:val="en-GB" w:eastAsia="en-GB"/>
              </w:rPr>
              <w:br/>
              <w:t> </w:t>
            </w:r>
            <w:r w:rsidRPr="00612928">
              <w:rPr>
                <w:rFonts w:ascii="Times New Roman" w:eastAsia="Times New Roman" w:hAnsi="Times New Roman" w:cs="Times New Roman"/>
                <w:color w:val="333333"/>
                <w:sz w:val="20"/>
                <w:szCs w:val="20"/>
                <w:lang w:val="en-GB" w:eastAsia="en-GB"/>
              </w:rPr>
              <w:br/>
            </w:r>
            <w:r w:rsidRPr="00612928">
              <w:rPr>
                <w:rFonts w:ascii="Times New Roman" w:eastAsia="Times New Roman" w:hAnsi="Times New Roman" w:cs="Times New Roman"/>
                <w:b/>
                <w:bCs/>
                <w:color w:val="333333"/>
                <w:sz w:val="20"/>
                <w:szCs w:val="20"/>
                <w:lang w:val="en-GB" w:eastAsia="en-GB"/>
              </w:rPr>
              <w:t>Zaščita (Hedging)</w:t>
            </w:r>
            <w:bookmarkStart w:id="12" w:name="ZaitaHedging"/>
            <w:bookmarkEnd w:id="11"/>
            <w:r w:rsidRPr="00612928">
              <w:rPr>
                <w:rFonts w:ascii="Times New Roman" w:eastAsia="Times New Roman" w:hAnsi="Times New Roman" w:cs="Times New Roman"/>
                <w:color w:val="333333"/>
                <w:sz w:val="20"/>
                <w:szCs w:val="20"/>
                <w:lang w:val="en-GB" w:eastAsia="en-GB"/>
              </w:rPr>
              <w:t xml:space="preserve"> - delno ali popolno zavarovanje, s pomočjo različnih instrumentov, pred sedanjimi ali prihodnjimi tečajnimi, obrestnimi in drugimi tveganji.</w:t>
            </w:r>
            <w:bookmarkEnd w:id="12"/>
          </w:p>
        </w:tc>
      </w:tr>
    </w:tbl>
    <w:p w:rsidR="00190E59" w:rsidRPr="00612928" w:rsidRDefault="00190E59" w:rsidP="00190E59">
      <w:pPr>
        <w:spacing w:after="0" w:line="240" w:lineRule="auto"/>
        <w:rPr>
          <w:rFonts w:ascii="Times New Roman" w:eastAsia="Times New Roman" w:hAnsi="Times New Roman" w:cs="Times New Roman"/>
          <w:sz w:val="24"/>
          <w:szCs w:val="24"/>
          <w:lang w:val="sl-SI" w:eastAsia="sl-SI"/>
        </w:rPr>
      </w:pPr>
    </w:p>
    <w:p w:rsidR="00190E59" w:rsidRPr="00612928" w:rsidRDefault="00190E59" w:rsidP="00190E59">
      <w:pPr>
        <w:spacing w:after="0" w:line="240" w:lineRule="auto"/>
        <w:rPr>
          <w:rFonts w:ascii="Times New Roman" w:eastAsia="Times New Roman" w:hAnsi="Times New Roman" w:cs="Times New Roman"/>
          <w:sz w:val="24"/>
          <w:szCs w:val="24"/>
          <w:lang w:val="sl-SI" w:eastAsia="sl-SI"/>
        </w:rPr>
      </w:pPr>
    </w:p>
    <w:p w:rsidR="00190E59" w:rsidRDefault="00190E59"/>
    <w:sectPr w:rsidR="00190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20B96"/>
    <w:multiLevelType w:val="hybridMultilevel"/>
    <w:tmpl w:val="F52880B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63FB8"/>
    <w:multiLevelType w:val="hybridMultilevel"/>
    <w:tmpl w:val="C2BC2B72"/>
    <w:lvl w:ilvl="0" w:tplc="AA40F7A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75A28"/>
    <w:multiLevelType w:val="hybridMultilevel"/>
    <w:tmpl w:val="127C7118"/>
    <w:lvl w:ilvl="0" w:tplc="AA40F7A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94528"/>
    <w:multiLevelType w:val="hybridMultilevel"/>
    <w:tmpl w:val="98E8A6C8"/>
    <w:lvl w:ilvl="0" w:tplc="D3BEA21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E2608"/>
    <w:multiLevelType w:val="hybridMultilevel"/>
    <w:tmpl w:val="8D486C50"/>
    <w:lvl w:ilvl="0" w:tplc="D3BEA21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2D7"/>
    <w:rsid w:val="00004150"/>
    <w:rsid w:val="00016D98"/>
    <w:rsid w:val="00042614"/>
    <w:rsid w:val="000B5A33"/>
    <w:rsid w:val="00190E59"/>
    <w:rsid w:val="004E08AF"/>
    <w:rsid w:val="005B3814"/>
    <w:rsid w:val="00725C25"/>
    <w:rsid w:val="009F1124"/>
    <w:rsid w:val="00AC3FCC"/>
    <w:rsid w:val="00AF2FF3"/>
    <w:rsid w:val="00B87181"/>
    <w:rsid w:val="00C20DBD"/>
    <w:rsid w:val="00D502D7"/>
    <w:rsid w:val="00E06ACE"/>
    <w:rsid w:val="00F178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65DFA85"/>
  <w15:docId w15:val="{C1C29CBC-F2BD-48B8-977E-E558E93B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06ACE"/>
    <w:rPr>
      <w:color w:val="0000FF" w:themeColor="hyperlink"/>
      <w:u w:val="single"/>
    </w:rPr>
  </w:style>
  <w:style w:type="paragraph" w:styleId="Besedilooblaka">
    <w:name w:val="Balloon Text"/>
    <w:basedOn w:val="Navaden"/>
    <w:link w:val="BesedilooblakaZnak"/>
    <w:uiPriority w:val="99"/>
    <w:semiHidden/>
    <w:unhideWhenUsed/>
    <w:rsid w:val="00E06AC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6ACE"/>
    <w:rPr>
      <w:rFonts w:ascii="Tahoma" w:hAnsi="Tahoma" w:cs="Tahoma"/>
      <w:sz w:val="16"/>
      <w:szCs w:val="16"/>
      <w:lang w:val="en-US"/>
    </w:rPr>
  </w:style>
  <w:style w:type="paragraph" w:styleId="Odstavekseznama">
    <w:name w:val="List Paragraph"/>
    <w:basedOn w:val="Navaden"/>
    <w:uiPriority w:val="34"/>
    <w:qFormat/>
    <w:rsid w:val="00E06ACE"/>
    <w:pPr>
      <w:ind w:left="720"/>
      <w:contextualSpacing/>
    </w:pPr>
  </w:style>
  <w:style w:type="character" w:styleId="SledenaHiperpovezava">
    <w:name w:val="FollowedHyperlink"/>
    <w:basedOn w:val="Privzetapisavaodstavka"/>
    <w:uiPriority w:val="99"/>
    <w:semiHidden/>
    <w:unhideWhenUsed/>
    <w:rsid w:val="00016D98"/>
    <w:rPr>
      <w:color w:val="800080" w:themeColor="followedHyperlink"/>
      <w:u w:val="single"/>
    </w:rPr>
  </w:style>
  <w:style w:type="character" w:styleId="Nerazreenaomemba">
    <w:name w:val="Unresolved Mention"/>
    <w:basedOn w:val="Privzetapisavaodstavka"/>
    <w:uiPriority w:val="99"/>
    <w:semiHidden/>
    <w:unhideWhenUsed/>
    <w:rsid w:val="005B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one.com/" TargetMode="External"/><Relationship Id="rId13" Type="http://schemas.openxmlformats.org/officeDocument/2006/relationships/hyperlink" Target="http://www.vzmd.si/novice/mediji-o-malih-delnicarjih/ljubljanske-mlekarne-stoodstotno-francosk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m.si/en/"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javascript:void%20window.open('http://www.krekovi-skladi.si/index2.php?option=com_content&amp;task=view&amp;id=87&amp;Itemid=90&amp;pop=1&amp;page=0',%20'win2',%20'status=no,toolbar=no,scrollbars=yes,titlebar=no,menubar=no,resizable=yes,width=640,height=480,directories=no,location=no');" TargetMode="External"/><Relationship Id="rId1" Type="http://schemas.openxmlformats.org/officeDocument/2006/relationships/numbering" Target="numbering.xml"/><Relationship Id="rId6" Type="http://schemas.openxmlformats.org/officeDocument/2006/relationships/hyperlink" Target="https://www.aaii.com/investingideas/article/15643-is-danone-stock-danoy-a-good-investment" TargetMode="External"/><Relationship Id="rId11" Type="http://schemas.openxmlformats.org/officeDocument/2006/relationships/hyperlink" Target="https://www.euronext.com/en/products/equities/FR0000120644-XPAR" TargetMode="External"/><Relationship Id="rId5" Type="http://schemas.openxmlformats.org/officeDocument/2006/relationships/hyperlink" Target="https://www.delo.si/gospodarstvo/novice/zacetek-leta-je-prinesel-rast-delnic/" TargetMode="External"/><Relationship Id="rId15" Type="http://schemas.openxmlformats.org/officeDocument/2006/relationships/hyperlink" Target="http://www.lactalis.fr/en/the-group/key-figures/" TargetMode="External"/><Relationship Id="rId10" Type="http://schemas.openxmlformats.org/officeDocument/2006/relationships/hyperlink" Target="https://www.forbes.com/sites/eustaciahuen/2022/12/21/4-top-food-trends-of-2023/?sh=58077f67dd0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ney.usnews.com/investing/news/articles/2023-02-22/danone-q4-sales-beat-forecasts-and-company-eyes-profitable-growth-in-2023" TargetMode="External"/><Relationship Id="rId14" Type="http://schemas.openxmlformats.org/officeDocument/2006/relationships/hyperlink" Target="https://www.lactalis-international.com/en/our-activity/"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10602</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Vesna Loborec</cp:lastModifiedBy>
  <cp:revision>2</cp:revision>
  <dcterms:created xsi:type="dcterms:W3CDTF">2023-02-27T12:31:00Z</dcterms:created>
  <dcterms:modified xsi:type="dcterms:W3CDTF">2023-02-27T12:31:00Z</dcterms:modified>
</cp:coreProperties>
</file>